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fontTable.xml" ContentType="application/vnd.openxmlformats-officedocument.wordprocessingml.fontTable+xml"/>
  <Override PartName="/word/_rels/footer2.xml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media/image1.png" ContentType="image/png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widowControl w:val="false"/>
        <w:spacing w:lineRule="auto" w:line="240" w:before="120" w:after="120"/>
        <w:jc w:val="center"/>
        <w:rPr>
          <w:rFonts w:ascii="Arial" w:hAnsi="Arial" w:eastAsia="Times New Roman" w:cs="Arial"/>
          <w:b/>
          <w:b/>
          <w:sz w:val="28"/>
          <w:szCs w:val="20"/>
        </w:rPr>
      </w:pPr>
      <w:r>
        <w:rPr>
          <w:rFonts w:eastAsia="Times New Roman" w:cs="Arial" w:ascii="Arial" w:hAnsi="Arial"/>
          <w:b/>
          <w:sz w:val="28"/>
          <w:szCs w:val="20"/>
        </w:rPr>
        <w:t>Scheda informativa n. 14.2</w:t>
      </w:r>
    </w:p>
    <w:p>
      <w:pPr>
        <w:pStyle w:val="Normal"/>
        <w:widowControl w:val="false"/>
        <w:spacing w:lineRule="auto" w:line="240" w:before="120" w:after="120"/>
        <w:jc w:val="center"/>
        <w:rPr>
          <w:rFonts w:ascii="Arial" w:hAnsi="Arial" w:eastAsia="Times New Roman" w:cs="Arial"/>
          <w:b/>
          <w:b/>
          <w:sz w:val="32"/>
          <w:szCs w:val="20"/>
        </w:rPr>
      </w:pPr>
      <w:r>
        <w:rPr>
          <w:rFonts w:eastAsia="Times New Roman" w:cs="Arial" w:ascii="Arial" w:hAnsi="Arial"/>
          <w:b/>
          <w:sz w:val="32"/>
          <w:szCs w:val="20"/>
        </w:rPr>
        <w:t>Installazione di impianti provvisori elettrici in occasione di straordinarie illuminazioni pubbliche, quali festività civili e religiose</w:t>
      </w:r>
    </w:p>
    <w:p>
      <w:pPr>
        <w:pStyle w:val="Normal"/>
        <w:widowControl w:val="false"/>
        <w:spacing w:lineRule="auto" w:line="240" w:before="240" w:after="240"/>
        <w:jc w:val="both"/>
        <w:rPr>
          <w:rFonts w:ascii="Arial" w:hAnsi="Arial" w:eastAsia="Times New Roman" w:cs="Arial"/>
          <w:b/>
          <w:b/>
          <w:sz w:val="20"/>
          <w:szCs w:val="20"/>
          <w:lang w:eastAsia="it-IT"/>
        </w:rPr>
      </w:pPr>
      <w:r>
        <w:rPr>
          <w:rFonts w:eastAsia="Times New Roman" w:cs="Arial" w:ascii="Arial" w:hAnsi="Arial"/>
          <w:b/>
          <w:sz w:val="20"/>
          <w:szCs w:val="20"/>
          <w:lang w:eastAsia="it-IT"/>
        </w:rPr>
        <w:t xml:space="preserve">TIPOLOGIE DI PRATICHE: </w:t>
      </w:r>
    </w:p>
    <w:p>
      <w:pPr>
        <w:pStyle w:val="Normal"/>
        <w:widowControl w:val="false"/>
        <w:spacing w:lineRule="auto" w:line="240" w:before="120" w:after="120"/>
        <w:jc w:val="both"/>
        <w:rPr/>
      </w:pPr>
      <w:r>
        <w:rPr>
          <w:rFonts w:eastAsia="Times New Roman" w:cs="Arial" w:ascii="Arial" w:hAnsi="Arial"/>
          <w:b/>
          <w:sz w:val="20"/>
          <w:szCs w:val="20"/>
          <w:lang w:eastAsia="it-IT"/>
        </w:rPr>
        <w:t xml:space="preserve">Le tipologie </w:t>
      </w:r>
      <w:r>
        <w:rPr>
          <w:rFonts w:eastAsia="Times New Roman" w:cs="Arial" w:ascii="Arial" w:hAnsi="Arial"/>
          <w:sz w:val="20"/>
          <w:szCs w:val="20"/>
          <w:lang w:eastAsia="it-IT"/>
        </w:rPr>
        <w:t>di pratiche in cui si articola l’attività di Installazione di impianti provvisori elettrici</w:t>
      </w:r>
      <w:r>
        <w:rPr>
          <w:rFonts w:eastAsia="Times New Roman" w:cs="Arial" w:ascii="Arial" w:hAnsi="Arial"/>
          <w:sz w:val="20"/>
          <w:szCs w:val="20"/>
        </w:rPr>
        <w:t xml:space="preserve"> </w:t>
      </w:r>
      <w:r>
        <w:rPr>
          <w:rFonts w:eastAsia="Times New Roman" w:cs="Arial" w:ascii="Arial" w:hAnsi="Arial"/>
          <w:sz w:val="20"/>
          <w:szCs w:val="20"/>
          <w:lang w:eastAsia="it-IT"/>
        </w:rPr>
        <w:t>in occasione di festività civili, religiose, etc.), sono le seguenti:</w:t>
      </w:r>
    </w:p>
    <w:p>
      <w:pPr>
        <w:pStyle w:val="Normal"/>
        <w:widowControl w:val="false"/>
        <w:numPr>
          <w:ilvl w:val="0"/>
          <w:numId w:val="4"/>
        </w:numPr>
        <w:suppressAutoHyphens w:val="false"/>
        <w:spacing w:lineRule="auto" w:line="240" w:before="120" w:after="120"/>
        <w:ind w:left="720" w:hanging="357"/>
        <w:jc w:val="both"/>
        <w:rPr>
          <w:rFonts w:ascii="Arial" w:hAnsi="Arial" w:eastAsia="Times New Roman" w:cs="Arial"/>
          <w:sz w:val="20"/>
          <w:szCs w:val="20"/>
          <w:lang w:eastAsia="it-IT"/>
        </w:rPr>
      </w:pPr>
      <w:r>
        <w:rPr>
          <w:rFonts w:eastAsia="Times New Roman" w:cs="Arial" w:ascii="Arial" w:hAnsi="Arial"/>
          <w:sz w:val="20"/>
          <w:szCs w:val="20"/>
          <w:lang w:eastAsia="it-IT"/>
        </w:rPr>
        <w:t>avvio dell’attività;</w:t>
      </w:r>
    </w:p>
    <w:p>
      <w:pPr>
        <w:pStyle w:val="Normal"/>
        <w:widowControl w:val="false"/>
        <w:spacing w:lineRule="auto" w:line="240" w:before="240" w:after="240"/>
        <w:rPr>
          <w:rFonts w:ascii="Arial" w:hAnsi="Arial" w:eastAsia="Times New Roman" w:cs="Arial"/>
          <w:b/>
          <w:b/>
          <w:sz w:val="20"/>
          <w:szCs w:val="20"/>
        </w:rPr>
      </w:pPr>
      <w:r>
        <w:rPr>
          <w:rFonts w:eastAsia="Times New Roman" w:cs="Arial" w:ascii="Arial" w:hAnsi="Arial"/>
          <w:b/>
          <w:sz w:val="20"/>
          <w:szCs w:val="20"/>
        </w:rPr>
        <w:t>DESTINATARI</w:t>
      </w:r>
    </w:p>
    <w:p>
      <w:pPr>
        <w:pStyle w:val="Normal"/>
        <w:widowControl w:val="false"/>
        <w:spacing w:lineRule="auto" w:line="240" w:before="120" w:after="120"/>
        <w:jc w:val="both"/>
        <w:rPr>
          <w:rFonts w:ascii="Arial" w:hAnsi="Arial" w:eastAsia="Times New Roman" w:cs="Arial"/>
          <w:b/>
          <w:b/>
          <w:sz w:val="20"/>
          <w:szCs w:val="20"/>
        </w:rPr>
      </w:pPr>
      <w:r>
        <w:rPr>
          <w:rFonts w:eastAsia="Times New Roman" w:cs="Arial" w:ascii="Arial" w:hAnsi="Arial"/>
          <w:sz w:val="20"/>
          <w:szCs w:val="20"/>
          <w:lang w:eastAsia="it-IT"/>
        </w:rPr>
        <w:t>Imprese o privati che intendono avviare l’attività di installazione di impianti provvisori elettrici in occasione di straordinarie illuminazioni pubbliche, quali festività civili e religiose.</w:t>
      </w:r>
    </w:p>
    <w:p>
      <w:pPr>
        <w:pStyle w:val="Normal"/>
        <w:widowControl w:val="false"/>
        <w:spacing w:lineRule="auto" w:line="240" w:before="240" w:after="240"/>
        <w:rPr>
          <w:rFonts w:ascii="Arial" w:hAnsi="Arial" w:eastAsia="Times New Roman" w:cs="Arial"/>
          <w:b/>
          <w:b/>
          <w:sz w:val="20"/>
          <w:szCs w:val="20"/>
        </w:rPr>
      </w:pPr>
      <w:r>
        <w:rPr>
          <w:rFonts w:eastAsia="Times New Roman" w:cs="Arial" w:ascii="Arial" w:hAnsi="Arial"/>
          <w:b/>
          <w:sz w:val="20"/>
          <w:szCs w:val="20"/>
        </w:rPr>
        <w:t>DESCRIZIONE</w:t>
      </w:r>
    </w:p>
    <w:p>
      <w:pPr>
        <w:pStyle w:val="Normal"/>
        <w:spacing w:lineRule="auto" w:line="240" w:before="120" w:after="120"/>
        <w:jc w:val="both"/>
        <w:rPr/>
      </w:pPr>
      <w:r>
        <w:rPr>
          <w:rFonts w:eastAsia="Times New Roman" w:cs="Arial" w:ascii="Arial" w:hAnsi="Arial"/>
          <w:sz w:val="20"/>
          <w:szCs w:val="20"/>
          <w:lang w:eastAsia="it-IT"/>
        </w:rPr>
        <w:t>Per impianti provvisori elettrici per straordinarie illuminazioni pubbliche, s’intende l’installazione delle c.d. “luminarie” in occasioni di festività civili o religiose o altri eventi.</w:t>
      </w:r>
    </w:p>
    <w:p>
      <w:pPr>
        <w:pStyle w:val="Normal"/>
        <w:widowControl w:val="false"/>
        <w:spacing w:lineRule="auto" w:line="240" w:before="240" w:after="240"/>
        <w:rPr>
          <w:rFonts w:ascii="Arial" w:hAnsi="Arial" w:eastAsia="Times New Roman" w:cs="Arial"/>
          <w:sz w:val="20"/>
          <w:szCs w:val="20"/>
          <w:lang w:eastAsia="it-IT"/>
        </w:rPr>
      </w:pPr>
      <w:r>
        <w:rPr>
          <w:rFonts w:eastAsia="Times New Roman" w:cs="Arial" w:ascii="Arial" w:hAnsi="Arial"/>
          <w:b/>
          <w:sz w:val="20"/>
          <w:szCs w:val="20"/>
          <w:lang w:eastAsia="it-IT"/>
        </w:rPr>
        <w:t>NORMATIVA DI RIFERIMENTO</w:t>
      </w:r>
    </w:p>
    <w:p>
      <w:pPr>
        <w:pStyle w:val="Normal"/>
        <w:numPr>
          <w:ilvl w:val="0"/>
          <w:numId w:val="6"/>
        </w:numPr>
        <w:suppressAutoHyphens w:val="false"/>
        <w:autoSpaceDE w:val="false"/>
        <w:spacing w:lineRule="auto" w:line="240" w:before="120" w:after="120"/>
        <w:ind w:left="720" w:hanging="357"/>
        <w:rPr>
          <w:rFonts w:ascii="Arial" w:hAnsi="Arial" w:eastAsia="Times New Roman" w:cs="Arial"/>
          <w:bCs/>
          <w:sz w:val="20"/>
          <w:szCs w:val="20"/>
          <w:lang w:eastAsia="it-IT"/>
        </w:rPr>
      </w:pPr>
      <w:r>
        <w:rPr>
          <w:rFonts w:eastAsia="Times New Roman" w:cs="Arial" w:ascii="Arial" w:hAnsi="Arial"/>
          <w:bCs/>
          <w:sz w:val="20"/>
          <w:szCs w:val="20"/>
          <w:lang w:eastAsia="it-IT"/>
        </w:rPr>
        <w:t>Testo Unico delle Leggi di Pubblica Sicurezza (R.D. n. 773/1931)</w:t>
      </w:r>
      <w:bookmarkStart w:id="0" w:name="inizio"/>
      <w:bookmarkEnd w:id="0"/>
      <w:r>
        <w:rPr>
          <w:rFonts w:eastAsia="Times New Roman" w:cs="Arial" w:ascii="Arial" w:hAnsi="Arial"/>
          <w:bCs/>
          <w:sz w:val="20"/>
          <w:szCs w:val="20"/>
          <w:lang w:eastAsia="it-IT"/>
        </w:rPr>
        <w:t>;</w:t>
      </w:r>
    </w:p>
    <w:p>
      <w:pPr>
        <w:pStyle w:val="Normal"/>
        <w:numPr>
          <w:ilvl w:val="0"/>
          <w:numId w:val="6"/>
        </w:numPr>
        <w:suppressAutoHyphens w:val="false"/>
        <w:autoSpaceDE w:val="false"/>
        <w:spacing w:lineRule="auto" w:line="240" w:before="120" w:after="120"/>
        <w:ind w:left="720" w:hanging="357"/>
        <w:rPr/>
      </w:pPr>
      <w:r>
        <w:rPr>
          <w:rFonts w:eastAsia="Times New Roman" w:cs="Arial" w:ascii="Arial" w:hAnsi="Arial"/>
          <w:bCs/>
          <w:sz w:val="20"/>
          <w:szCs w:val="20"/>
          <w:lang w:eastAsia="it-IT"/>
        </w:rPr>
        <w:t>Regolamento per l’esecuzione del T.U.L.P.S. (R.D. n. 635/1940);</w:t>
      </w:r>
    </w:p>
    <w:p>
      <w:pPr>
        <w:pStyle w:val="Normal"/>
        <w:numPr>
          <w:ilvl w:val="0"/>
          <w:numId w:val="3"/>
        </w:numPr>
        <w:shd w:fill="FFFFFF" w:val="clear"/>
        <w:spacing w:lineRule="auto" w:line="240" w:before="120" w:after="120"/>
        <w:ind w:left="720" w:hanging="357"/>
        <w:jc w:val="both"/>
        <w:rPr>
          <w:rFonts w:ascii="Arial" w:hAnsi="Arial" w:eastAsia="Times New Roman" w:cs="Arial"/>
          <w:sz w:val="20"/>
          <w:szCs w:val="20"/>
          <w:lang w:eastAsia="it-IT"/>
        </w:rPr>
      </w:pPr>
      <w:r>
        <w:rPr>
          <w:rFonts w:eastAsia="Times New Roman" w:cs="Arial" w:ascii="Arial" w:hAnsi="Arial"/>
          <w:sz w:val="20"/>
          <w:szCs w:val="20"/>
          <w:lang w:eastAsia="it-IT"/>
        </w:rPr>
        <w:t>Legge n. 241/1990; D.lgs. n. 126/2016; D.lgs. n. 222/2016;</w:t>
      </w:r>
    </w:p>
    <w:p>
      <w:pPr>
        <w:pStyle w:val="Normal"/>
        <w:numPr>
          <w:ilvl w:val="0"/>
          <w:numId w:val="3"/>
        </w:numPr>
        <w:shd w:fill="FFFFFF" w:val="clear"/>
        <w:spacing w:lineRule="auto" w:line="240" w:before="120" w:after="120"/>
        <w:ind w:left="720" w:hanging="357"/>
        <w:jc w:val="both"/>
        <w:rPr/>
      </w:pPr>
      <w:r>
        <w:rPr>
          <w:rFonts w:cs="Arial" w:ascii="Arial" w:hAnsi="Arial"/>
          <w:sz w:val="20"/>
          <w:szCs w:val="20"/>
        </w:rPr>
        <w:t>D.lgs.</w:t>
      </w:r>
      <w:r>
        <w:rPr>
          <w:rFonts w:eastAsia="Times New Roman" w:cs="Arial" w:ascii="Arial" w:hAnsi="Arial"/>
          <w:sz w:val="20"/>
          <w:szCs w:val="20"/>
          <w:lang w:eastAsia="it-IT"/>
        </w:rPr>
        <w:t xml:space="preserve"> n. 159/2011 “</w:t>
      </w:r>
      <w:r>
        <w:rPr>
          <w:rFonts w:eastAsia="Times New Roman" w:cs="Arial" w:ascii="Arial" w:hAnsi="Arial"/>
          <w:i/>
          <w:sz w:val="20"/>
          <w:szCs w:val="20"/>
          <w:lang w:eastAsia="it-IT"/>
        </w:rPr>
        <w:t>Codice delle leggi antimafia e delle misure di prevenzione…</w:t>
      </w:r>
      <w:r>
        <w:rPr>
          <w:rFonts w:eastAsia="Times New Roman" w:cs="Arial" w:ascii="Arial" w:hAnsi="Arial"/>
          <w:sz w:val="20"/>
          <w:szCs w:val="20"/>
          <w:lang w:eastAsia="it-IT"/>
        </w:rPr>
        <w:t>”.</w:t>
      </w:r>
    </w:p>
    <w:p>
      <w:pPr>
        <w:pStyle w:val="Normal"/>
        <w:widowControl w:val="false"/>
        <w:shd w:fill="FFFFFF" w:val="clear"/>
        <w:spacing w:lineRule="auto" w:line="240" w:before="240" w:after="240"/>
        <w:rPr>
          <w:rFonts w:ascii="Arial" w:hAnsi="Arial" w:eastAsia="Times New Roman" w:cs="Arial"/>
          <w:b/>
          <w:b/>
          <w:sz w:val="20"/>
          <w:szCs w:val="20"/>
          <w:lang w:eastAsia="it-IT"/>
        </w:rPr>
      </w:pPr>
      <w:r>
        <w:rPr>
          <w:rFonts w:eastAsia="Times New Roman" w:cs="Arial" w:ascii="Arial" w:hAnsi="Arial"/>
          <w:b/>
          <w:sz w:val="20"/>
          <w:szCs w:val="20"/>
          <w:lang w:eastAsia="it-IT"/>
        </w:rPr>
        <w:t>ADEMPIMENTI E MODALITÀ DI AVVIO DELL’ATTIVITÀ</w:t>
      </w:r>
    </w:p>
    <w:p>
      <w:pPr>
        <w:pStyle w:val="Normal"/>
        <w:shd w:fill="FFFFFF" w:val="clear"/>
        <w:suppressAutoHyphens w:val="false"/>
        <w:spacing w:lineRule="auto" w:line="240" w:before="120" w:after="120"/>
        <w:rPr/>
      </w:pPr>
      <w:r>
        <w:rPr>
          <w:rFonts w:eastAsia="Times New Roman" w:cs="Arial" w:ascii="Arial" w:hAnsi="Arial"/>
          <w:sz w:val="20"/>
          <w:szCs w:val="20"/>
          <w:lang w:eastAsia="it-IT"/>
        </w:rPr>
        <w:t xml:space="preserve">Preliminarmente </w:t>
      </w:r>
      <w:r>
        <w:rPr>
          <w:rFonts w:eastAsia="Times New Roman" w:cs="Arial" w:ascii="Arial" w:hAnsi="Arial"/>
          <w:b/>
          <w:sz w:val="20"/>
          <w:szCs w:val="20"/>
          <w:lang w:eastAsia="it-IT"/>
        </w:rPr>
        <w:t>è necessario</w:t>
      </w:r>
      <w:r>
        <w:rPr>
          <w:rFonts w:eastAsia="Times New Roman" w:cs="Arial" w:ascii="Arial" w:hAnsi="Arial"/>
          <w:sz w:val="20"/>
          <w:szCs w:val="20"/>
          <w:lang w:eastAsia="it-IT"/>
        </w:rPr>
        <w:t>:</w:t>
      </w:r>
    </w:p>
    <w:p>
      <w:pPr>
        <w:pStyle w:val="Normal"/>
        <w:numPr>
          <w:ilvl w:val="0"/>
          <w:numId w:val="1"/>
        </w:numPr>
        <w:shd w:fill="FFFFFF" w:val="clear"/>
        <w:suppressAutoHyphens w:val="false"/>
        <w:spacing w:lineRule="auto" w:line="240" w:before="120" w:after="120"/>
        <w:ind w:left="720" w:hanging="357"/>
        <w:rPr/>
      </w:pPr>
      <w:r>
        <w:rPr>
          <w:rFonts w:eastAsia="Times New Roman" w:cs="Arial" w:ascii="Arial" w:hAnsi="Arial"/>
          <w:b/>
          <w:bCs/>
          <w:sz w:val="20"/>
          <w:szCs w:val="20"/>
          <w:lang w:eastAsia="it-IT"/>
        </w:rPr>
        <w:t>costituire una impresa</w:t>
      </w:r>
      <w:r>
        <w:rPr>
          <w:rFonts w:eastAsia="Times New Roman" w:cs="Arial" w:ascii="Arial" w:hAnsi="Arial"/>
          <w:bCs/>
          <w:sz w:val="20"/>
          <w:szCs w:val="20"/>
          <w:lang w:eastAsia="it-IT"/>
        </w:rPr>
        <w:t xml:space="preserve"> in forma individuale o societaria o cooperativa;</w:t>
      </w:r>
    </w:p>
    <w:p>
      <w:pPr>
        <w:pStyle w:val="Normal"/>
        <w:numPr>
          <w:ilvl w:val="0"/>
          <w:numId w:val="1"/>
        </w:numPr>
        <w:shd w:fill="FFFFFF" w:val="clear"/>
        <w:suppressAutoHyphens w:val="false"/>
        <w:spacing w:lineRule="auto" w:line="240" w:before="120" w:after="120"/>
        <w:ind w:left="720" w:hanging="357"/>
        <w:jc w:val="both"/>
        <w:rPr>
          <w:rFonts w:ascii="Arial" w:hAnsi="Arial" w:eastAsia="Times New Roman" w:cs="Arial"/>
          <w:sz w:val="20"/>
          <w:szCs w:val="20"/>
          <w:lang w:eastAsia="it-IT"/>
        </w:rPr>
      </w:pPr>
      <w:r>
        <w:rPr>
          <w:rFonts w:eastAsia="Times New Roman" w:cs="Arial" w:ascii="Arial" w:hAnsi="Arial"/>
          <w:b/>
          <w:sz w:val="20"/>
          <w:szCs w:val="20"/>
          <w:lang w:eastAsia="it-IT"/>
        </w:rPr>
        <w:t>procedere all’iscrizione all’Albo delle Imprese.</w:t>
      </w:r>
      <w:r>
        <w:rPr>
          <w:rStyle w:val="FootnoteCharacters"/>
          <w:rStyle w:val="FootnoteAnchor"/>
          <w:rFonts w:eastAsia="Times New Roman" w:cs="Arial" w:ascii="Arial" w:hAnsi="Arial"/>
          <w:b/>
          <w:sz w:val="20"/>
          <w:szCs w:val="20"/>
          <w:lang w:eastAsia="it-IT"/>
        </w:rPr>
        <w:footnoteReference w:id="2"/>
      </w:r>
    </w:p>
    <w:p>
      <w:pPr>
        <w:pStyle w:val="Normal"/>
        <w:shd w:fill="FFFFFF" w:val="clear"/>
        <w:spacing w:lineRule="auto" w:line="240" w:before="120" w:after="120"/>
        <w:jc w:val="both"/>
        <w:rPr>
          <w:rFonts w:ascii="Arial" w:hAnsi="Arial" w:eastAsia="Times New Roman" w:cs="Arial"/>
          <w:bCs/>
          <w:sz w:val="20"/>
          <w:szCs w:val="20"/>
          <w:lang w:eastAsia="it-IT"/>
        </w:rPr>
      </w:pPr>
      <w:r>
        <w:rPr>
          <w:rFonts w:eastAsia="Times New Roman" w:cs="Arial" w:ascii="Arial" w:hAnsi="Arial"/>
          <w:bCs/>
          <w:sz w:val="20"/>
          <w:szCs w:val="20"/>
          <w:lang w:eastAsia="it-IT"/>
        </w:rPr>
        <w:t>Ai sensi dell’art. 2, commi 2 e 4 del D.lgs. n. 126/2016:</w:t>
      </w:r>
    </w:p>
    <w:p>
      <w:pPr>
        <w:pStyle w:val="Normal"/>
        <w:numPr>
          <w:ilvl w:val="0"/>
          <w:numId w:val="5"/>
        </w:numPr>
        <w:shd w:fill="FFFFFF" w:val="clear"/>
        <w:spacing w:lineRule="auto" w:line="240" w:before="120" w:after="120"/>
        <w:jc w:val="both"/>
        <w:rPr/>
      </w:pPr>
      <w:r>
        <w:rPr>
          <w:rFonts w:eastAsia="Times New Roman" w:cs="Arial" w:ascii="Arial" w:hAnsi="Arial"/>
          <w:bCs/>
          <w:sz w:val="20"/>
          <w:szCs w:val="20"/>
          <w:lang w:eastAsia="it-IT"/>
        </w:rPr>
        <w:t>l</w:t>
      </w:r>
      <w:r>
        <w:rPr>
          <w:rFonts w:eastAsia="Times New Roman" w:cs="Arial" w:ascii="Arial" w:hAnsi="Arial"/>
          <w:sz w:val="20"/>
          <w:szCs w:val="20"/>
          <w:lang w:eastAsia="it-IT"/>
        </w:rPr>
        <w:t>’avvio dell’attività e le vicende successive sono subordinate alla</w:t>
      </w:r>
      <w:r>
        <w:rPr>
          <w:rFonts w:eastAsia="Times New Roman" w:cs="Arial" w:ascii="Arial" w:hAnsi="Arial"/>
          <w:bCs/>
          <w:sz w:val="20"/>
          <w:szCs w:val="20"/>
          <w:lang w:eastAsia="it-IT"/>
        </w:rPr>
        <w:t xml:space="preserve"> compilazione </w:t>
      </w:r>
      <w:r>
        <w:rPr>
          <w:rFonts w:eastAsia="Times New Roman" w:cs="Arial" w:ascii="Arial" w:hAnsi="Arial"/>
          <w:sz w:val="20"/>
          <w:szCs w:val="20"/>
          <w:lang w:eastAsia="it-IT"/>
        </w:rPr>
        <w:t xml:space="preserve">degli specifici moduli, </w:t>
      </w:r>
      <w:r>
        <w:rPr>
          <w:rFonts w:eastAsia="Times New Roman" w:cs="Arial" w:ascii="Arial" w:hAnsi="Arial"/>
          <w:bCs/>
          <w:sz w:val="20"/>
          <w:szCs w:val="20"/>
          <w:lang w:eastAsia="it-IT"/>
        </w:rPr>
        <w:t xml:space="preserve">disponibili </w:t>
      </w:r>
      <w:r>
        <w:rPr>
          <w:rFonts w:eastAsia="Times New Roman" w:cs="Arial" w:ascii="Arial" w:hAnsi="Arial"/>
          <w:b/>
          <w:bCs/>
          <w:sz w:val="20"/>
          <w:szCs w:val="20"/>
          <w:lang w:eastAsia="it-IT"/>
        </w:rPr>
        <w:t xml:space="preserve">sul sito istituzionale del Comune, da presentare esclusivamente in modalità telematica allo Sportello Unico </w:t>
      </w:r>
      <w:r>
        <w:rPr>
          <w:rFonts w:eastAsia="Times New Roman" w:cs="Arial" w:ascii="Arial" w:hAnsi="Arial"/>
          <w:bCs/>
          <w:sz w:val="20"/>
          <w:szCs w:val="20"/>
          <w:lang w:eastAsia="it-IT"/>
        </w:rPr>
        <w:t>del Comune stesso;</w:t>
      </w:r>
    </w:p>
    <w:p>
      <w:pPr>
        <w:pStyle w:val="Normal"/>
        <w:numPr>
          <w:ilvl w:val="0"/>
          <w:numId w:val="5"/>
        </w:numPr>
        <w:shd w:fill="FFFFFF" w:val="clear"/>
        <w:spacing w:lineRule="auto" w:line="240" w:before="120" w:after="120"/>
        <w:jc w:val="both"/>
        <w:rPr/>
      </w:pPr>
      <w:r>
        <w:rPr>
          <w:rFonts w:eastAsia="Times New Roman" w:cs="Arial" w:ascii="Arial" w:hAnsi="Arial"/>
          <w:bCs/>
          <w:sz w:val="20"/>
          <w:szCs w:val="20"/>
          <w:lang w:eastAsia="it-IT"/>
        </w:rPr>
        <w:t xml:space="preserve">il Comune può chiedere agli interessati informazioni/documenti </w:t>
      </w:r>
      <w:r>
        <w:rPr>
          <w:rFonts w:eastAsia="Times New Roman" w:cs="Arial" w:ascii="Arial" w:hAnsi="Arial"/>
          <w:b/>
          <w:bCs/>
          <w:sz w:val="20"/>
          <w:szCs w:val="20"/>
          <w:lang w:eastAsia="it-IT"/>
        </w:rPr>
        <w:t>solo in caso di mancata</w:t>
      </w:r>
      <w:r>
        <w:rPr>
          <w:rFonts w:eastAsia="Times New Roman" w:cs="Arial" w:ascii="Arial" w:hAnsi="Arial"/>
          <w:bCs/>
          <w:sz w:val="20"/>
          <w:szCs w:val="20"/>
          <w:lang w:eastAsia="it-IT"/>
        </w:rPr>
        <w:t xml:space="preserve"> </w:t>
      </w:r>
      <w:r>
        <w:rPr>
          <w:rFonts w:eastAsia="Times New Roman" w:cs="Arial" w:ascii="Arial" w:hAnsi="Arial"/>
          <w:b/>
          <w:bCs/>
          <w:sz w:val="20"/>
          <w:szCs w:val="20"/>
          <w:lang w:eastAsia="it-IT"/>
        </w:rPr>
        <w:t>corrispondenza del contenuto della Comunicazione e relativi allegati, ai moduli ed elenchi</w:t>
      </w:r>
      <w:r>
        <w:rPr>
          <w:rFonts w:eastAsia="Times New Roman" w:cs="Arial" w:ascii="Arial" w:hAnsi="Arial"/>
          <w:bCs/>
          <w:sz w:val="20"/>
          <w:szCs w:val="20"/>
          <w:lang w:eastAsia="it-IT"/>
        </w:rPr>
        <w:t xml:space="preserve"> pubblicati sul proprio sito istituzionale.</w:t>
      </w:r>
    </w:p>
    <w:p>
      <w:pPr>
        <w:pStyle w:val="Normal"/>
        <w:widowControl w:val="false"/>
        <w:suppressAutoHyphens w:val="false"/>
        <w:spacing w:lineRule="auto" w:line="240" w:before="120" w:after="120"/>
        <w:jc w:val="both"/>
        <w:rPr>
          <w:rFonts w:ascii="Arial" w:hAnsi="Arial" w:eastAsia="Times New Roman" w:cs="Arial"/>
          <w:bCs/>
          <w:sz w:val="20"/>
          <w:szCs w:val="20"/>
          <w:lang w:eastAsia="it-IT"/>
        </w:rPr>
      </w:pPr>
      <w:r>
        <w:rPr>
          <w:rFonts w:eastAsia="Times New Roman" w:cs="Arial" w:ascii="Arial" w:hAnsi="Arial"/>
          <w:bCs/>
          <w:sz w:val="20"/>
          <w:szCs w:val="20"/>
          <w:lang w:eastAsia="it-IT"/>
        </w:rPr>
        <w:t>Qualora la Comunicazione difetti degli elementi essenziali non potrà essere esaminata e, pertanto, sarà dichiarata irricevibile e archiviata.</w:t>
      </w:r>
    </w:p>
    <w:p>
      <w:pPr>
        <w:pStyle w:val="Normal"/>
        <w:widowControl w:val="false"/>
        <w:spacing w:lineRule="auto" w:line="240" w:before="240" w:after="240"/>
        <w:rPr>
          <w:rFonts w:ascii="Arial" w:hAnsi="Arial" w:eastAsia="Times New Roman" w:cs="Arial"/>
          <w:bCs/>
          <w:sz w:val="20"/>
          <w:szCs w:val="20"/>
          <w:lang w:eastAsia="it-IT"/>
        </w:rPr>
      </w:pPr>
      <w:r>
        <w:rPr>
          <w:rFonts w:eastAsia="Times New Roman" w:cs="Arial" w:ascii="Arial" w:hAnsi="Arial"/>
          <w:b/>
          <w:bCs/>
          <w:sz w:val="20"/>
          <w:szCs w:val="20"/>
          <w:lang w:eastAsia="it-IT"/>
        </w:rPr>
        <w:t>REGIME AMMINISTRATIVO E CONCENTRAZIONE DEI REGIMI AMMINISTRATIVI</w:t>
      </w:r>
    </w:p>
    <w:p>
      <w:pPr>
        <w:pStyle w:val="Normal"/>
        <w:widowControl w:val="false"/>
        <w:spacing w:lineRule="auto" w:line="240" w:before="120" w:after="120"/>
        <w:jc w:val="both"/>
        <w:rPr>
          <w:rFonts w:ascii="Arial" w:hAnsi="Arial" w:eastAsia="Times New Roman" w:cs="Arial"/>
          <w:bCs/>
          <w:sz w:val="20"/>
          <w:szCs w:val="20"/>
          <w:lang w:eastAsia="it-IT"/>
        </w:rPr>
      </w:pPr>
      <w:r>
        <w:rPr>
          <w:rFonts w:eastAsia="Times New Roman" w:cs="Arial" w:ascii="Arial" w:hAnsi="Arial"/>
          <w:bCs/>
          <w:sz w:val="20"/>
          <w:szCs w:val="20"/>
          <w:lang w:eastAsia="it-IT"/>
        </w:rPr>
        <w:t>Ai sensi dell’art. 19bis, L. n. 241/1990, la pratica deve essere presentata allo Sportello Unico del Comune, anche in caso di procedimenti connessi di competenza di altre amministrazioni o diverse articolazioni interne dell’amministrazione ricevente.</w:t>
      </w:r>
    </w:p>
    <w:p>
      <w:pPr>
        <w:pStyle w:val="Normal"/>
        <w:widowControl w:val="false"/>
        <w:spacing w:lineRule="auto" w:line="240" w:before="120" w:after="240"/>
        <w:jc w:val="both"/>
        <w:rPr/>
      </w:pPr>
      <w:r>
        <w:rPr/>
        <w:t>Per ciascuna tipologia di attività di cui alla presente Scheda informativa, la Tabella seguente illustra il regime amministrativo cui è soggetta, il regime amministrativo applicabile in caso di concentrazione con altre attività e i riferimenti normativi:</w:t>
      </w:r>
    </w:p>
    <w:tbl>
      <w:tblPr>
        <w:tblW w:w="986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439"/>
        <w:gridCol w:w="2327"/>
        <w:gridCol w:w="1961"/>
        <w:gridCol w:w="2520"/>
        <w:gridCol w:w="2616"/>
      </w:tblGrid>
      <w:tr>
        <w:trPr/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napToGrid w:val="false"/>
              <w:spacing w:lineRule="auto" w:line="240" w:before="120" w:after="120"/>
              <w:rPr>
                <w:rFonts w:ascii="Arial" w:hAnsi="Arial" w:eastAsia="Times New Roman" w:cs="Arial"/>
                <w:b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b/>
                <w:bCs/>
                <w:sz w:val="20"/>
                <w:szCs w:val="20"/>
                <w:lang w:eastAsia="it-IT"/>
              </w:rPr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jc w:val="center"/>
              <w:rPr>
                <w:rFonts w:ascii="Arial" w:hAnsi="Arial" w:eastAsia="Times New Roman" w:cs="Arial"/>
                <w:b/>
                <w:b/>
                <w:bCs/>
                <w:sz w:val="20"/>
                <w:szCs w:val="20"/>
                <w:lang w:val="en-US" w:eastAsia="it-IT"/>
              </w:rPr>
            </w:pPr>
            <w:r>
              <w:rPr>
                <w:rFonts w:eastAsia="Times New Roman" w:cs="Arial" w:ascii="Arial" w:hAnsi="Arial"/>
                <w:b/>
                <w:bCs/>
                <w:sz w:val="20"/>
                <w:szCs w:val="20"/>
                <w:lang w:eastAsia="it-IT"/>
              </w:rPr>
              <w:t>ATTIVITÀ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jc w:val="center"/>
              <w:rPr>
                <w:rFonts w:ascii="Arial" w:hAnsi="Arial" w:eastAsia="Times New Roman" w:cs="Arial"/>
                <w:b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b/>
                <w:bCs/>
                <w:sz w:val="20"/>
                <w:szCs w:val="20"/>
                <w:lang w:eastAsia="it-IT"/>
              </w:rPr>
              <w:t>REGIME AMMINISTRATIVO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jc w:val="center"/>
              <w:rPr>
                <w:rFonts w:ascii="Arial" w:hAnsi="Arial" w:eastAsia="Times New Roman" w:cs="Arial"/>
                <w:b/>
                <w:b/>
                <w:bCs/>
                <w:sz w:val="20"/>
                <w:szCs w:val="20"/>
                <w:lang w:val="en-US" w:eastAsia="it-IT"/>
              </w:rPr>
            </w:pPr>
            <w:r>
              <w:rPr>
                <w:rFonts w:eastAsia="Times New Roman" w:cs="Arial" w:ascii="Arial" w:hAnsi="Arial"/>
                <w:b/>
                <w:bCs/>
                <w:sz w:val="20"/>
                <w:szCs w:val="20"/>
                <w:lang w:eastAsia="it-IT"/>
              </w:rPr>
              <w:t>CONCENTRAZIONE DEI REGIMI AMMINISTRATIVI</w:t>
            </w:r>
          </w:p>
        </w:tc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jc w:val="center"/>
              <w:rPr>
                <w:rFonts w:ascii="Arial" w:hAnsi="Arial" w:eastAsia="Times New Roman" w:cs="Arial"/>
                <w:b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b/>
                <w:bCs/>
                <w:sz w:val="20"/>
                <w:szCs w:val="20"/>
                <w:lang w:eastAsia="it-IT"/>
              </w:rPr>
              <w:t>RIFERIMENTI NORMATIVI</w:t>
            </w:r>
          </w:p>
        </w:tc>
      </w:tr>
      <w:tr>
        <w:trPr>
          <w:trHeight w:val="218" w:hRule="atLeast"/>
        </w:trPr>
        <w:tc>
          <w:tcPr>
            <w:tcW w:w="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jc w:val="center"/>
              <w:rPr>
                <w:rFonts w:ascii="Arial" w:hAnsi="Arial" w:eastAsia="Times New Roman" w:cs="Arial"/>
                <w:bCs/>
                <w:sz w:val="20"/>
                <w:szCs w:val="20"/>
                <w:lang w:val="en-US" w:eastAsia="it-IT"/>
              </w:rPr>
            </w:pPr>
            <w:r>
              <w:rPr>
                <w:rFonts w:eastAsia="Times New Roman" w:cs="Arial" w:ascii="Arial" w:hAnsi="Arial"/>
                <w:b/>
                <w:bCs/>
                <w:sz w:val="20"/>
                <w:szCs w:val="20"/>
                <w:lang w:eastAsia="it-IT"/>
              </w:rPr>
              <w:t>97</w:t>
            </w:r>
          </w:p>
        </w:tc>
        <w:tc>
          <w:tcPr>
            <w:tcW w:w="23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jc w:val="both"/>
              <w:rPr>
                <w:rFonts w:ascii="Arial" w:hAnsi="Arial" w:eastAsia="Times New Roman" w:cs="Arial"/>
                <w:b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b/>
                <w:bCs/>
                <w:sz w:val="20"/>
                <w:szCs w:val="20"/>
                <w:lang w:eastAsia="it-IT"/>
              </w:rPr>
              <w:t>Avvio dell’attività</w:t>
            </w:r>
            <w:r>
              <w:rPr>
                <w:rFonts w:eastAsia="Times New Roman" w:cs="Arial" w:ascii="Arial" w:hAnsi="Arial"/>
                <w:bCs/>
                <w:sz w:val="20"/>
                <w:szCs w:val="20"/>
                <w:lang w:eastAsia="it-IT"/>
              </w:rPr>
              <w:t xml:space="preserve"> </w:t>
            </w:r>
          </w:p>
        </w:tc>
        <w:tc>
          <w:tcPr>
            <w:tcW w:w="19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jc w:val="both"/>
              <w:rPr>
                <w:rFonts w:ascii="Arial" w:hAnsi="Arial" w:eastAsia="Times New Roman" w:cs="Arial"/>
                <w:b/>
                <w:b/>
                <w:bCs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b/>
                <w:bCs/>
                <w:sz w:val="20"/>
                <w:szCs w:val="20"/>
                <w:lang w:eastAsia="it-IT"/>
              </w:rPr>
              <w:t>Comunicazione</w:t>
            </w:r>
          </w:p>
        </w:tc>
        <w:tc>
          <w:tcPr>
            <w:tcW w:w="25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/>
            </w:pPr>
            <w:r>
              <w:rPr>
                <w:rFonts w:eastAsia="Times New Roman" w:cs="Arial" w:ascii="Arial" w:hAnsi="Arial"/>
                <w:bCs/>
                <w:sz w:val="20"/>
                <w:szCs w:val="20"/>
                <w:lang w:eastAsia="it-IT"/>
              </w:rPr>
              <w:t>È necessario prima dell’avvio dell’attività, trasmettere al Comune la certificazione degli impianti</w:t>
            </w:r>
          </w:p>
        </w:tc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autoSpaceDE w:val="false"/>
              <w:spacing w:lineRule="auto" w:line="240" w:before="120" w:after="120"/>
              <w:rPr>
                <w:rFonts w:ascii="Arial" w:hAnsi="Arial" w:eastAsia="Times New Roman" w:cs="Arial"/>
                <w:bCs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bCs/>
                <w:sz w:val="20"/>
                <w:szCs w:val="20"/>
                <w:lang w:eastAsia="it-IT"/>
              </w:rPr>
              <w:t>Regolamento per l’esecuzione del Testo Unico delle Leggi di Pubblica Sicurezza di cui al R.D. n. 635/1940, art. 110</w:t>
            </w:r>
          </w:p>
        </w:tc>
      </w:tr>
    </w:tbl>
    <w:p>
      <w:pPr>
        <w:pStyle w:val="Normal"/>
        <w:shd w:fill="FFFFFF" w:val="clear"/>
        <w:suppressAutoHyphens w:val="false"/>
        <w:spacing w:lineRule="auto" w:line="240" w:before="240" w:after="240"/>
        <w:ind w:right="-142" w:hanging="0"/>
        <w:jc w:val="both"/>
        <w:rPr/>
      </w:pPr>
      <w:r>
        <w:rPr>
          <w:rFonts w:eastAsia="Times New Roman" w:cs="Arial" w:ascii="Arial" w:hAnsi="Arial"/>
          <w:b/>
          <w:bCs/>
          <w:sz w:val="20"/>
          <w:szCs w:val="20"/>
          <w:lang w:eastAsia="it-IT"/>
        </w:rPr>
        <w:t>Alla</w:t>
      </w:r>
      <w:r>
        <w:rPr>
          <w:rFonts w:eastAsia="Times New Roman" w:cs="Arial" w:ascii="Arial" w:hAnsi="Arial"/>
          <w:bCs/>
          <w:sz w:val="20"/>
          <w:szCs w:val="20"/>
          <w:lang w:eastAsia="it-IT"/>
        </w:rPr>
        <w:t xml:space="preserve"> </w:t>
      </w:r>
      <w:r>
        <w:rPr>
          <w:rFonts w:eastAsia="Times New Roman" w:cs="Arial" w:ascii="Arial" w:hAnsi="Arial"/>
          <w:b/>
          <w:bCs/>
          <w:sz w:val="20"/>
          <w:szCs w:val="20"/>
          <w:lang w:eastAsia="it-IT"/>
        </w:rPr>
        <w:t>presentazione</w:t>
      </w:r>
      <w:r>
        <w:rPr>
          <w:rFonts w:eastAsia="Times New Roman" w:cs="Arial" w:ascii="Arial" w:hAnsi="Arial"/>
          <w:bCs/>
          <w:sz w:val="20"/>
          <w:szCs w:val="20"/>
          <w:lang w:eastAsia="it-IT"/>
        </w:rPr>
        <w:t xml:space="preserve"> </w:t>
      </w:r>
      <w:r>
        <w:rPr>
          <w:rFonts w:eastAsia="Times New Roman" w:cs="Arial" w:ascii="Arial" w:hAnsi="Arial"/>
          <w:b/>
          <w:bCs/>
          <w:sz w:val="20"/>
          <w:szCs w:val="20"/>
          <w:lang w:eastAsia="it-IT"/>
        </w:rPr>
        <w:t>della Comunicazione</w:t>
      </w:r>
      <w:r>
        <w:rPr>
          <w:rFonts w:eastAsia="Times New Roman" w:cs="Arial" w:ascii="Arial" w:hAnsi="Arial"/>
          <w:bCs/>
          <w:sz w:val="20"/>
          <w:szCs w:val="20"/>
          <w:lang w:eastAsia="it-IT"/>
        </w:rPr>
        <w:t xml:space="preserve"> </w:t>
      </w:r>
      <w:r>
        <w:rPr>
          <w:rFonts w:eastAsia="Times New Roman" w:cs="Arial" w:ascii="Arial" w:hAnsi="Arial"/>
          <w:b/>
          <w:bCs/>
          <w:sz w:val="20"/>
          <w:szCs w:val="20"/>
          <w:lang w:eastAsia="it-IT"/>
        </w:rPr>
        <w:t>è</w:t>
      </w:r>
      <w:r>
        <w:rPr>
          <w:rFonts w:eastAsia="Times New Roman" w:cs="Arial" w:ascii="Arial" w:hAnsi="Arial"/>
          <w:bCs/>
          <w:sz w:val="20"/>
          <w:szCs w:val="20"/>
          <w:lang w:eastAsia="it-IT"/>
        </w:rPr>
        <w:t xml:space="preserve"> </w:t>
      </w:r>
      <w:r>
        <w:rPr>
          <w:rFonts w:eastAsia="Times New Roman" w:cs="Arial" w:ascii="Arial" w:hAnsi="Arial"/>
          <w:b/>
          <w:bCs/>
          <w:sz w:val="20"/>
          <w:szCs w:val="20"/>
          <w:lang w:eastAsia="it-IT"/>
        </w:rPr>
        <w:t>rilasciata</w:t>
      </w:r>
      <w:r>
        <w:rPr>
          <w:rFonts w:eastAsia="Times New Roman" w:cs="Arial" w:ascii="Arial" w:hAnsi="Arial"/>
          <w:bCs/>
          <w:sz w:val="20"/>
          <w:szCs w:val="20"/>
          <w:lang w:eastAsia="it-IT"/>
        </w:rPr>
        <w:t xml:space="preserve"> </w:t>
      </w:r>
      <w:r>
        <w:rPr>
          <w:rFonts w:eastAsia="Times New Roman" w:cs="Arial" w:ascii="Arial" w:hAnsi="Arial"/>
          <w:b/>
          <w:bCs/>
          <w:sz w:val="20"/>
          <w:szCs w:val="20"/>
          <w:lang w:eastAsia="it-IT"/>
        </w:rPr>
        <w:t>immediatamente ricevuta</w:t>
      </w:r>
      <w:r>
        <w:rPr>
          <w:rFonts w:eastAsia="Times New Roman" w:cs="Arial" w:ascii="Arial" w:hAnsi="Arial"/>
          <w:bCs/>
          <w:sz w:val="20"/>
          <w:szCs w:val="20"/>
          <w:lang w:eastAsia="it-IT"/>
        </w:rPr>
        <w:t xml:space="preserve">, </w:t>
      </w:r>
      <w:r>
        <w:rPr>
          <w:rFonts w:eastAsia="Times New Roman" w:cs="Arial" w:ascii="Arial" w:hAnsi="Arial"/>
          <w:bCs/>
          <w:sz w:val="20"/>
          <w:szCs w:val="20"/>
          <w:highlight w:val="lightGray"/>
          <w:lang w:eastAsia="it-IT"/>
        </w:rPr>
        <w:t>anche in via telematica</w:t>
      </w:r>
      <w:r>
        <w:rPr>
          <w:rFonts w:eastAsia="Times New Roman" w:cs="Arial" w:ascii="Arial" w:hAnsi="Arial"/>
          <w:bCs/>
          <w:sz w:val="20"/>
          <w:szCs w:val="20"/>
          <w:lang w:eastAsia="it-IT"/>
        </w:rPr>
        <w:t>, la cui protocollazione coincide con l’effettiva presentazione da parte dell’interessato</w:t>
      </w:r>
      <w:r>
        <w:rPr>
          <w:rStyle w:val="FootnoteAnchor"/>
          <w:rFonts w:eastAsia="Times New Roman" w:cs="Arial" w:ascii="Arial" w:hAnsi="Arial"/>
          <w:bCs/>
          <w:sz w:val="20"/>
          <w:szCs w:val="20"/>
          <w:vertAlign w:val="superscript"/>
          <w:lang w:eastAsia="it-IT"/>
        </w:rPr>
        <w:footnoteReference w:id="3"/>
      </w:r>
      <w:r>
        <w:rPr>
          <w:rFonts w:eastAsia="Times New Roman" w:cs="Arial" w:ascii="Arial" w:hAnsi="Arial"/>
          <w:bCs/>
          <w:sz w:val="20"/>
          <w:szCs w:val="20"/>
          <w:lang w:eastAsia="it-IT"/>
        </w:rPr>
        <w:t>, con indicazione dei termini entro cui l’Amministrazione è tenuta, ove previsto, a rispondere o entro cui il silenzio equivale ad accoglimento dell’istanza. In caso di pratiche presentate ad ufficio diverso da quello competente, i termini dei controlli ex artt. 19, c.3, L. n. 241/90, decorrono dal loro ricevimento da parte dell’ufficio competente (art. 18-bis, L. n. 241/90).</w:t>
      </w:r>
    </w:p>
    <w:p>
      <w:pPr>
        <w:pStyle w:val="Normal"/>
        <w:widowControl w:val="false"/>
        <w:suppressAutoHyphens w:val="false"/>
        <w:spacing w:lineRule="auto" w:line="240" w:before="240" w:after="240"/>
        <w:jc w:val="both"/>
        <w:rPr>
          <w:rFonts w:cs="Arial"/>
        </w:rPr>
      </w:pPr>
      <w:r>
        <w:rPr>
          <w:rFonts w:eastAsia="Arial" w:cs="Arial" w:ascii="Arial" w:hAnsi="Arial"/>
          <w:b/>
          <w:sz w:val="20"/>
          <w:szCs w:val="20"/>
          <w:lang w:eastAsia="it-IT"/>
        </w:rPr>
        <w:t>Elenco stati, qualità personali, fatti oggetto di dichiarazione sostitutiva necessari a corredo della Comunicazione, con indicazione delle norme che ne prevedono la produzione</w:t>
      </w:r>
      <w:r>
        <w:rPr>
          <w:rFonts w:eastAsia="Arial" w:cs="Arial" w:ascii="Arial" w:hAnsi="Arial"/>
          <w:sz w:val="20"/>
          <w:szCs w:val="20"/>
          <w:lang w:eastAsia="it-IT"/>
        </w:rPr>
        <w:t xml:space="preserve"> (a</w:t>
      </w:r>
      <w:r>
        <w:rPr>
          <w:rFonts w:eastAsia="Arial" w:cs="Arial" w:ascii="Arial" w:hAnsi="Arial"/>
          <w:bCs/>
          <w:sz w:val="20"/>
          <w:szCs w:val="20"/>
          <w:lang w:eastAsia="it-IT"/>
        </w:rPr>
        <w:t>rt. 2,.c2, D.lgs. n. 126/2016</w:t>
      </w:r>
      <w:r>
        <w:rPr>
          <w:rFonts w:eastAsia="Arial" w:cs="Arial" w:ascii="Arial" w:hAnsi="Arial"/>
          <w:sz w:val="20"/>
          <w:szCs w:val="20"/>
          <w:lang w:eastAsia="it-IT"/>
        </w:rPr>
        <w:t xml:space="preserve">). </w:t>
      </w:r>
    </w:p>
    <w:tbl>
      <w:tblPr>
        <w:tblW w:w="986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5570"/>
        <w:gridCol w:w="4293"/>
      </w:tblGrid>
      <w:tr>
        <w:trPr/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b/>
                <w:b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b/>
                <w:sz w:val="20"/>
                <w:szCs w:val="20"/>
                <w:lang w:eastAsia="it-IT"/>
              </w:rPr>
              <w:t>Stati, qualità personali e fatti oggetto di dichiarazione sostitutiva necessari a corredo della Comunicazione</w:t>
            </w:r>
          </w:p>
        </w:tc>
        <w:tc>
          <w:tcPr>
            <w:tcW w:w="4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b/>
                <w:b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b/>
                <w:sz w:val="20"/>
                <w:szCs w:val="20"/>
                <w:lang w:eastAsia="it-IT"/>
              </w:rPr>
              <w:t>Norme che ne prevedono la produzione</w:t>
            </w:r>
          </w:p>
        </w:tc>
      </w:tr>
      <w:tr>
        <w:trPr/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 xml:space="preserve">Dati identificativi dell’impresa </w:t>
            </w:r>
          </w:p>
        </w:tc>
        <w:tc>
          <w:tcPr>
            <w:tcW w:w="4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widowControl w:val="false"/>
              <w:tabs>
                <w:tab w:val="left" w:pos="7371" w:leader="none"/>
                <w:tab w:val="left" w:pos="9639" w:leader="none"/>
              </w:tabs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</w:rPr>
              <w:t xml:space="preserve">Art. 2195 codice </w:t>
            </w:r>
          </w:p>
        </w:tc>
      </w:tr>
      <w:tr>
        <w:trPr/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Arial" w:cs="Arial"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>Qualità rivestita dal titolare dell’impresa</w:t>
            </w:r>
          </w:p>
        </w:tc>
        <w:tc>
          <w:tcPr>
            <w:tcW w:w="4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keepNext w:val="true"/>
              <w:numPr>
                <w:ilvl w:val="0"/>
                <w:numId w:val="0"/>
              </w:numPr>
              <w:suppressAutoHyphens w:val="false"/>
              <w:spacing w:lineRule="auto" w:line="240" w:before="120" w:after="120"/>
              <w:outlineLvl w:val="0"/>
              <w:rPr>
                <w:rFonts w:ascii="Arial" w:hAnsi="Arial" w:eastAsia="Times New Roman" w:cs="Arial"/>
                <w:sz w:val="20"/>
                <w:szCs w:val="20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>Art. 2082 codice civile</w:t>
            </w:r>
          </w:p>
        </w:tc>
      </w:tr>
      <w:tr>
        <w:trPr/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bCs/>
                <w:sz w:val="20"/>
                <w:szCs w:val="20"/>
                <w:lang w:eastAsia="it-IT"/>
              </w:rPr>
              <w:t>Soggetto incaricato dell'installazione</w:t>
            </w:r>
          </w:p>
        </w:tc>
        <w:tc>
          <w:tcPr>
            <w:tcW w:w="4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keepNext w:val="true"/>
              <w:numPr>
                <w:ilvl w:val="0"/>
                <w:numId w:val="0"/>
              </w:numPr>
              <w:suppressAutoHyphens w:val="false"/>
              <w:spacing w:lineRule="auto" w:line="240" w:before="120" w:after="120"/>
              <w:outlineLvl w:val="0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>Art. 110, regolamento per l’esecuzione del tulps (r.d. n. 635/1940</w:t>
            </w:r>
          </w:p>
        </w:tc>
      </w:tr>
      <w:tr>
        <w:trPr/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>Denominazione della manifestazione, festività o evento</w:t>
            </w:r>
            <w:r>
              <w:rPr>
                <w:rFonts w:eastAsia="Times New Roman" w:cs="Arial" w:ascii="Arial" w:hAnsi="Arial"/>
                <w:b/>
                <w:bCs/>
                <w:sz w:val="20"/>
                <w:szCs w:val="20"/>
                <w:lang w:eastAsia="it-IT"/>
              </w:rPr>
              <w:t xml:space="preserve"> </w:t>
            </w:r>
          </w:p>
        </w:tc>
        <w:tc>
          <w:tcPr>
            <w:tcW w:w="4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>Art. 110, regolamento per l’esecuzione del tulps (r.d. n. 635/1940)</w:t>
            </w:r>
          </w:p>
        </w:tc>
      </w:tr>
      <w:tr>
        <w:trPr/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>Collocazione e tipologia di luminarie, date previste per l'installazione, l’accensione e lo smontaggio</w:t>
            </w:r>
          </w:p>
        </w:tc>
        <w:tc>
          <w:tcPr>
            <w:tcW w:w="4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>Art. 110, regolamento per l’esecuzione del tulps (r.d. n. 635/1940)</w:t>
            </w:r>
          </w:p>
        </w:tc>
      </w:tr>
      <w:tr>
        <w:trPr/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/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>Assenza cause di divieto, decadenza o sospensione di cui al libro primo, titolo primo, D.lgs. N.159/2011 (Legge antimafia)</w:t>
            </w:r>
          </w:p>
        </w:tc>
        <w:tc>
          <w:tcPr>
            <w:tcW w:w="4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Arial" w:cs="Arial"/>
                <w:sz w:val="20"/>
                <w:szCs w:val="20"/>
                <w:lang w:val="en-US"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val="en-US" w:eastAsia="it-IT"/>
              </w:rPr>
              <w:t>Art. 67, c.1, lett. A), D.lgs. N. 159/2011</w:t>
            </w:r>
          </w:p>
        </w:tc>
      </w:tr>
      <w:tr>
        <w:trPr/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Paragrafoelenco"/>
              <w:spacing w:lineRule="auto" w:line="240" w:before="120" w:after="120"/>
              <w:ind w:left="0" w:hanging="0"/>
              <w:contextualSpacing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>Insussistenza condizioni previste dagli art. 11 e 92 del tulps</w:t>
            </w:r>
          </w:p>
        </w:tc>
        <w:tc>
          <w:tcPr>
            <w:tcW w:w="4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>Artt. 11 e 92, tulps</w:t>
            </w:r>
          </w:p>
        </w:tc>
      </w:tr>
      <w:tr>
        <w:trPr/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widowControl w:val="false"/>
              <w:suppressAutoHyphens w:val="false"/>
              <w:spacing w:lineRule="auto" w:line="240" w:before="120" w:after="120"/>
              <w:rPr>
                <w:rFonts w:ascii="Arial" w:hAnsi="Arial" w:eastAsia="Arial" w:cs="Arial"/>
                <w:color w:val="000000"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>Conformità attrezzature alle prescrizioni delle vigenti normative</w:t>
            </w:r>
          </w:p>
        </w:tc>
        <w:tc>
          <w:tcPr>
            <w:tcW w:w="4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/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>Art. 110 del regolamento per l’esecuzione del tulps e normative di sicurezza settoriali</w:t>
            </w:r>
          </w:p>
        </w:tc>
      </w:tr>
      <w:tr>
        <w:trPr/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bCs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>Rispetto norme sulla sicurezza nei luoghi di lavoro</w:t>
            </w:r>
          </w:p>
        </w:tc>
        <w:tc>
          <w:tcPr>
            <w:tcW w:w="4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widowControl w:val="false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bCs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>D.lgs. N. 81/2008</w:t>
            </w:r>
          </w:p>
        </w:tc>
      </w:tr>
      <w:tr>
        <w:trPr>
          <w:trHeight w:val="234" w:hRule="atLeast"/>
        </w:trPr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>Prestazione del consenso al trattamento dei dati personali</w:t>
            </w:r>
          </w:p>
        </w:tc>
        <w:tc>
          <w:tcPr>
            <w:tcW w:w="4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sz w:val="20"/>
                <w:szCs w:val="20"/>
                <w:lang w:val="en-US"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val="en-US" w:eastAsia="it-IT"/>
              </w:rPr>
              <w:t>Art. 13, d.lgs. N. 196/2003</w:t>
            </w:r>
          </w:p>
        </w:tc>
      </w:tr>
      <w:tr>
        <w:trPr/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b/>
                <w:b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iCs/>
                <w:sz w:val="20"/>
                <w:szCs w:val="20"/>
                <w:lang w:eastAsia="it-IT"/>
              </w:rPr>
              <w:t xml:space="preserve">Dichiarazione </w:t>
            </w:r>
            <w:r>
              <w:rPr>
                <w:rFonts w:eastAsia="Arial" w:cs="Arial" w:ascii="Arial" w:hAnsi="Arial"/>
                <w:color w:val="000000"/>
                <w:sz w:val="20"/>
                <w:szCs w:val="20"/>
                <w:lang w:eastAsia="it-IT"/>
              </w:rPr>
              <w:t>rispetto disposizioni D.P.R. n. 445/2000</w:t>
            </w:r>
          </w:p>
        </w:tc>
        <w:tc>
          <w:tcPr>
            <w:tcW w:w="4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sz w:val="20"/>
                <w:szCs w:val="20"/>
                <w:lang w:val="en-US" w:eastAsia="it-IT"/>
              </w:rPr>
            </w:pPr>
            <w:r>
              <w:rPr>
                <w:rFonts w:eastAsia="Times New Roman" w:cs="Arial" w:ascii="Arial" w:hAnsi="Arial"/>
                <w:iCs/>
                <w:sz w:val="20"/>
                <w:szCs w:val="20"/>
                <w:lang w:val="en-US" w:eastAsia="it-IT"/>
              </w:rPr>
              <w:t>Art. 71 e ss., DPR n. 445/2000</w:t>
            </w:r>
          </w:p>
        </w:tc>
      </w:tr>
      <w:tr>
        <w:trPr/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20" w:after="120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>Dichiarazioni persone tenute (amministratori, soci) – solo per società, associazioni, organismi collettivi</w:t>
            </w:r>
          </w:p>
        </w:tc>
        <w:tc>
          <w:tcPr>
            <w:tcW w:w="4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widowControl w:val="false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>Artt. 67 e 85, d.lgs. N. 159/2011</w:t>
            </w:r>
          </w:p>
        </w:tc>
      </w:tr>
      <w:tr>
        <w:trPr/>
        <w:tc>
          <w:tcPr>
            <w:tcW w:w="55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pacing w:lineRule="auto" w:line="240" w:before="120" w:after="120"/>
              <w:rPr/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>Impegno ad allegare copia della documentazione richiesta dalla modulistica comunale</w:t>
            </w:r>
          </w:p>
        </w:tc>
        <w:tc>
          <w:tcPr>
            <w:tcW w:w="42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widowControl w:val="false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sz w:val="20"/>
                <w:szCs w:val="20"/>
                <w:lang w:val="en-US" w:eastAsia="it-IT"/>
              </w:rPr>
            </w:pPr>
            <w:r>
              <w:rPr>
                <w:rFonts w:eastAsia="Arial" w:cs="Arial" w:ascii="Arial" w:hAnsi="Arial"/>
                <w:sz w:val="20"/>
                <w:szCs w:val="20"/>
                <w:lang w:val="en-US" w:eastAsia="it-IT"/>
              </w:rPr>
              <w:t>Art. 2, c.2, d.lgs. N. 126/2016</w:t>
            </w:r>
          </w:p>
        </w:tc>
      </w:tr>
    </w:tbl>
    <w:p>
      <w:pPr>
        <w:pStyle w:val="Normal"/>
        <w:suppressAutoHyphens w:val="false"/>
        <w:spacing w:lineRule="auto" w:line="240" w:before="240" w:after="240"/>
        <w:ind w:right="-142" w:hanging="0"/>
        <w:jc w:val="both"/>
        <w:rPr>
          <w:rFonts w:ascii="Arial" w:hAnsi="Arial" w:eastAsia="Times New Roman" w:cs="Arial"/>
          <w:b/>
          <w:b/>
          <w:sz w:val="20"/>
          <w:szCs w:val="20"/>
          <w:lang w:eastAsia="it-IT"/>
        </w:rPr>
      </w:pPr>
      <w:r>
        <w:rPr>
          <w:rFonts w:eastAsia="Times New Roman" w:cs="Arial" w:ascii="Arial" w:hAnsi="Arial"/>
          <w:b/>
          <w:sz w:val="20"/>
          <w:szCs w:val="20"/>
          <w:lang w:eastAsia="it-IT"/>
        </w:rPr>
        <w:t>N.B. Per questa tipologia di attività non sono previste attestazioni/asseverazioni di tecnici abilitati/dichiarazioni di conformità delle Agenzie delle imprese, necessari a corredo della Comunicazione.</w:t>
      </w:r>
    </w:p>
    <w:p>
      <w:pPr>
        <w:pStyle w:val="Normal"/>
        <w:widowControl w:val="false"/>
        <w:shd w:fill="FFFFFF" w:val="clear"/>
        <w:spacing w:lineRule="auto" w:line="240" w:before="240" w:after="240"/>
        <w:rPr>
          <w:rFonts w:ascii="Arial" w:hAnsi="Arial" w:eastAsia="Times New Roman" w:cs="Arial"/>
          <w:sz w:val="20"/>
          <w:szCs w:val="20"/>
          <w:lang w:eastAsia="it-IT"/>
        </w:rPr>
      </w:pPr>
      <w:r>
        <w:rPr>
          <w:rFonts w:eastAsia="Times New Roman" w:cs="Arial" w:ascii="Arial" w:hAnsi="Arial"/>
          <w:b/>
          <w:sz w:val="20"/>
          <w:szCs w:val="20"/>
          <w:lang w:eastAsia="it-IT"/>
        </w:rPr>
        <w:t>DOCUMENTAZIONE DA ALLEGARE</w:t>
      </w:r>
      <w:r>
        <w:rPr>
          <w:rStyle w:val="FootnoteAnchor"/>
          <w:rFonts w:eastAsia="Times New Roman" w:cs="Arial" w:ascii="Arial" w:hAnsi="Arial"/>
          <w:sz w:val="20"/>
          <w:szCs w:val="20"/>
          <w:vertAlign w:val="superscript"/>
          <w:lang w:eastAsia="it-IT"/>
        </w:rPr>
        <w:footnoteReference w:id="4"/>
      </w:r>
    </w:p>
    <w:p>
      <w:pPr>
        <w:pStyle w:val="Normal"/>
        <w:widowControl w:val="false"/>
        <w:spacing w:lineRule="auto" w:line="240" w:before="240" w:after="240"/>
        <w:rPr>
          <w:rFonts w:cs="Arial"/>
        </w:rPr>
      </w:pPr>
      <w:r>
        <w:rPr>
          <w:rFonts w:eastAsia="Times New Roman" w:cs="Arial" w:ascii="Arial" w:hAnsi="Arial"/>
          <w:b/>
          <w:sz w:val="20"/>
          <w:szCs w:val="20"/>
          <w:lang w:eastAsia="it-IT"/>
        </w:rPr>
        <w:t>Documentazione da allegare alla Comunicazione (a pena di irricevibilità):</w:t>
      </w:r>
    </w:p>
    <w:tbl>
      <w:tblPr>
        <w:tblW w:w="986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1572"/>
        <w:gridCol w:w="4828"/>
        <w:gridCol w:w="3463"/>
      </w:tblGrid>
      <w:tr>
        <w:trPr/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jc w:val="center"/>
              <w:rPr>
                <w:rFonts w:ascii="Arial" w:hAnsi="Arial" w:eastAsia="Times New Roman" w:cs="Arial"/>
                <w:b/>
                <w:b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b/>
                <w:sz w:val="20"/>
                <w:szCs w:val="20"/>
                <w:lang w:eastAsia="it-IT"/>
              </w:rPr>
              <w:t>Allegati</w:t>
            </w:r>
          </w:p>
        </w:tc>
        <w:tc>
          <w:tcPr>
            <w:tcW w:w="4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b/>
                <w:b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b/>
                <w:sz w:val="20"/>
                <w:szCs w:val="20"/>
                <w:lang w:eastAsia="it-IT"/>
              </w:rPr>
              <w:t>Denominazione allegato</w:t>
            </w:r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b/>
                <w:b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b/>
                <w:sz w:val="20"/>
                <w:szCs w:val="20"/>
                <w:lang w:eastAsia="it-IT"/>
              </w:rPr>
              <w:t>Casi in cui è previsto l’allegato</w:t>
            </w:r>
          </w:p>
        </w:tc>
      </w:tr>
      <w:tr>
        <w:trPr>
          <w:trHeight w:val="437" w:hRule="atLeast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jc w:val="center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Wingdings" w:cs="Wingdings" w:ascii="Wingdings" w:hAnsi="Wingdings"/>
                <w:sz w:val="24"/>
                <w:szCs w:val="20"/>
                <w:lang w:eastAsia="en-US"/>
              </w:rPr>
              <w:t></w:t>
            </w:r>
          </w:p>
        </w:tc>
        <w:tc>
          <w:tcPr>
            <w:tcW w:w="4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>Procura/Delega</w:t>
            </w:r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>Nel caso di procura/delega a presentare la comunicazione</w:t>
            </w:r>
          </w:p>
        </w:tc>
      </w:tr>
      <w:tr>
        <w:trPr/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jc w:val="center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Wingdings" w:cs="Wingdings" w:ascii="Wingdings" w:hAnsi="Wingdings"/>
                <w:sz w:val="24"/>
                <w:szCs w:val="20"/>
                <w:lang w:eastAsia="en-US"/>
              </w:rPr>
              <w:t></w:t>
            </w:r>
          </w:p>
        </w:tc>
        <w:tc>
          <w:tcPr>
            <w:tcW w:w="4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>Copia documento di identità del/i titolare/i</w:t>
            </w:r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>Nel caso in cui la comunicazione non sia sottoscritta in forma digitale e in assenza di procura</w:t>
            </w:r>
          </w:p>
        </w:tc>
      </w:tr>
      <w:tr>
        <w:trPr/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jc w:val="center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Wingdings" w:cs="Wingdings" w:ascii="Wingdings" w:hAnsi="Wingdings"/>
                <w:sz w:val="24"/>
                <w:szCs w:val="20"/>
                <w:lang w:eastAsia="en-US"/>
              </w:rPr>
              <w:t></w:t>
            </w:r>
          </w:p>
        </w:tc>
        <w:tc>
          <w:tcPr>
            <w:tcW w:w="4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>Copia permesso di soggiorno o carta di soggiorno del firmatario (se il permesso scade entro 30 giorni: copia della ricevuta della richiesta di rinnovo)</w:t>
            </w:r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>Nel caso di cittadini extracomunitari</w:t>
            </w:r>
          </w:p>
        </w:tc>
      </w:tr>
      <w:tr>
        <w:trPr/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eastAsia="Wingdings" w:cs="Wingdings" w:ascii="Wingdings" w:hAnsi="Wingdings"/>
                <w:sz w:val="24"/>
                <w:szCs w:val="20"/>
                <w:lang w:eastAsia="en-US"/>
              </w:rPr>
              <w:t></w:t>
            </w:r>
          </w:p>
        </w:tc>
        <w:tc>
          <w:tcPr>
            <w:tcW w:w="4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>Dichiarazioni sul possesso dei requisiti da parte degli altri soci (allegato A del modello + copia del documento d’identità)</w:t>
            </w:r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>Sempre, in presenza di soggetti (ad es. soci) diversi dal dichiarante</w:t>
            </w:r>
          </w:p>
        </w:tc>
      </w:tr>
      <w:tr>
        <w:trPr>
          <w:trHeight w:val="394" w:hRule="atLeast"/>
        </w:trPr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jc w:val="center"/>
              <w:rPr>
                <w:rFonts w:ascii="Arial" w:hAnsi="Arial" w:cs="Arial"/>
                <w:sz w:val="20"/>
                <w:szCs w:val="20"/>
                <w:lang w:eastAsia="en-US"/>
              </w:rPr>
            </w:pPr>
            <w:r>
              <w:rPr>
                <w:rFonts w:eastAsia="Wingdings" w:cs="Wingdings" w:ascii="Wingdings" w:hAnsi="Wingdings"/>
                <w:sz w:val="24"/>
                <w:szCs w:val="20"/>
                <w:lang w:eastAsia="en-US"/>
              </w:rPr>
              <w:t></w:t>
            </w:r>
          </w:p>
        </w:tc>
        <w:tc>
          <w:tcPr>
            <w:tcW w:w="4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>certificazione di conformità degli impianti di cui all'</w:t>
            </w:r>
            <w:r>
              <w:fldChar w:fldCharType="begin"/>
            </w:r>
            <w:r>
              <w:instrText> HYPERLINK "http://www.bosettiegatti.eu/info/norme/statali/2008_0037.htm" \l "07"</w:instrText>
            </w:r>
            <w:r>
              <w:fldChar w:fldCharType="separate"/>
            </w:r>
            <w:r>
              <w:rPr>
                <w:rStyle w:val="InternetLink"/>
                <w:rFonts w:eastAsia="Times New Roman" w:cs="Arial" w:ascii="Arial" w:hAnsi="Arial"/>
                <w:sz w:val="20"/>
                <w:szCs w:val="20"/>
                <w:lang w:eastAsia="it-IT"/>
              </w:rPr>
              <w:t>art. 7 del Decreto del Ministro dello Sviluppo Economico 22 gennaio 2008, n. 37</w:t>
            </w:r>
            <w:r>
              <w:fldChar w:fldCharType="end"/>
            </w:r>
          </w:p>
        </w:tc>
        <w:tc>
          <w:tcPr>
            <w:tcW w:w="3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>Sempre</w:t>
            </w:r>
          </w:p>
        </w:tc>
      </w:tr>
    </w:tbl>
    <w:p>
      <w:pPr>
        <w:pStyle w:val="Normal"/>
        <w:widowControl w:val="false"/>
        <w:spacing w:lineRule="auto" w:line="240" w:before="240" w:after="240"/>
        <w:rPr>
          <w:rFonts w:ascii="Arial" w:hAnsi="Arial" w:eastAsia="Times New Roman" w:cs="Arial"/>
          <w:b/>
          <w:b/>
          <w:sz w:val="20"/>
          <w:szCs w:val="20"/>
          <w:lang w:eastAsia="it-IT"/>
        </w:rPr>
      </w:pPr>
      <w:r>
        <w:rPr>
          <w:rFonts w:eastAsia="Times New Roman" w:cs="Arial" w:ascii="Arial" w:hAnsi="Arial"/>
          <w:b/>
          <w:sz w:val="20"/>
          <w:szCs w:val="20"/>
          <w:lang w:eastAsia="it-IT"/>
        </w:rPr>
        <w:t>Altri allegati (Attestazioni del versamento di oneri, diritti, etc.) - a pena di irricevibilità:</w:t>
      </w:r>
    </w:p>
    <w:tbl>
      <w:tblPr>
        <w:tblW w:w="9863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top w:w="0" w:type="dxa"/>
          <w:left w:w="103" w:type="dxa"/>
          <w:bottom w:w="0" w:type="dxa"/>
          <w:right w:w="108" w:type="dxa"/>
        </w:tblCellMar>
      </w:tblPr>
      <w:tblGrid>
        <w:gridCol w:w="1624"/>
        <w:gridCol w:w="4802"/>
        <w:gridCol w:w="3437"/>
      </w:tblGrid>
      <w:tr>
        <w:trPr/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jc w:val="center"/>
              <w:rPr>
                <w:rFonts w:ascii="Arial" w:hAnsi="Arial" w:eastAsia="Times New Roman" w:cs="Arial"/>
                <w:b/>
                <w:b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b/>
                <w:sz w:val="20"/>
                <w:szCs w:val="20"/>
                <w:lang w:eastAsia="it-IT"/>
              </w:rPr>
              <w:t>Allegati</w:t>
            </w:r>
          </w:p>
        </w:tc>
        <w:tc>
          <w:tcPr>
            <w:tcW w:w="4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b/>
                <w:b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b/>
                <w:sz w:val="20"/>
                <w:szCs w:val="20"/>
                <w:lang w:eastAsia="it-IT"/>
              </w:rPr>
              <w:t>Denominazione allegato</w:t>
            </w:r>
          </w:p>
        </w:tc>
        <w:tc>
          <w:tcPr>
            <w:tcW w:w="3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b/>
                <w:b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b/>
                <w:sz w:val="20"/>
                <w:szCs w:val="20"/>
                <w:lang w:eastAsia="it-IT"/>
              </w:rPr>
              <w:t>Casi in cui è previsto l’allegato</w:t>
            </w:r>
          </w:p>
        </w:tc>
      </w:tr>
      <w:tr>
        <w:trPr>
          <w:trHeight w:val="364" w:hRule="atLeast"/>
        </w:trPr>
        <w:tc>
          <w:tcPr>
            <w:tcW w:w="1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jc w:val="center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Wingdings" w:cs="Wingdings" w:ascii="Wingdings" w:hAnsi="Wingdings"/>
                <w:sz w:val="24"/>
                <w:szCs w:val="20"/>
                <w:lang w:eastAsia="en-US"/>
              </w:rPr>
              <w:t></w:t>
            </w:r>
          </w:p>
        </w:tc>
        <w:tc>
          <w:tcPr>
            <w:tcW w:w="48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insideH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>Attestazione del versamento di oneri, diritti, etc.</w:t>
            </w:r>
          </w:p>
        </w:tc>
        <w:tc>
          <w:tcPr>
            <w:tcW w:w="34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insideH w:val="single" w:sz="4" w:space="0" w:color="000000"/>
              <w:insideV w:val="single" w:sz="4" w:space="0" w:color="000000"/>
            </w:tcBorders>
            <w:shd w:fill="auto" w:val="clear"/>
            <w:tcMar>
              <w:left w:w="103" w:type="dxa"/>
            </w:tcMar>
          </w:tcPr>
          <w:p>
            <w:pPr>
              <w:pStyle w:val="Normal"/>
              <w:suppressAutoHyphens w:val="false"/>
              <w:spacing w:lineRule="auto" w:line="240" w:before="120" w:after="120"/>
              <w:rPr>
                <w:rFonts w:ascii="Arial" w:hAnsi="Arial" w:eastAsia="Times New Roman" w:cs="Arial"/>
                <w:sz w:val="20"/>
                <w:szCs w:val="20"/>
                <w:lang w:eastAsia="it-IT"/>
              </w:rPr>
            </w:pPr>
            <w:r>
              <w:rPr>
                <w:rFonts w:eastAsia="Times New Roman" w:cs="Arial" w:ascii="Arial" w:hAnsi="Arial"/>
                <w:sz w:val="20"/>
                <w:szCs w:val="20"/>
                <w:lang w:eastAsia="it-IT"/>
              </w:rPr>
              <w:t>Nella misura e con le modalità indicate sul sito dell’Amministrazione</w:t>
            </w:r>
          </w:p>
        </w:tc>
      </w:tr>
    </w:tbl>
    <w:p>
      <w:pPr>
        <w:pStyle w:val="Normal"/>
        <w:widowControl w:val="false"/>
        <w:shd w:fill="FFFFFF" w:val="clear"/>
        <w:spacing w:lineRule="auto" w:line="240" w:before="240" w:after="240"/>
        <w:rPr>
          <w:rFonts w:ascii="Arial" w:hAnsi="Arial" w:eastAsia="Times New Roman" w:cs="Arial"/>
          <w:b/>
          <w:b/>
          <w:sz w:val="20"/>
          <w:szCs w:val="20"/>
          <w:lang w:eastAsia="it-IT"/>
        </w:rPr>
      </w:pPr>
      <w:r>
        <w:rPr>
          <w:rFonts w:eastAsia="Times New Roman" w:cs="Arial" w:ascii="Arial" w:hAnsi="Arial"/>
          <w:b/>
          <w:sz w:val="20"/>
          <w:szCs w:val="20"/>
          <w:lang w:eastAsia="it-IT"/>
        </w:rPr>
        <w:t>REQUISITI PER L’AVVIO E L’ESERCIZIO DELL’ATTIVITA’</w:t>
      </w:r>
    </w:p>
    <w:p>
      <w:pPr>
        <w:pStyle w:val="Normal"/>
        <w:widowControl w:val="false"/>
        <w:spacing w:lineRule="auto" w:line="240" w:before="240" w:after="240"/>
        <w:rPr>
          <w:rFonts w:ascii="Arial" w:hAnsi="Arial" w:eastAsia="Times New Roman" w:cs="Arial"/>
          <w:b/>
          <w:b/>
          <w:sz w:val="20"/>
          <w:szCs w:val="20"/>
          <w:lang w:eastAsia="it-IT"/>
        </w:rPr>
      </w:pPr>
      <w:r>
        <w:rPr>
          <w:rFonts w:eastAsia="Times New Roman" w:cs="Arial" w:ascii="Arial" w:hAnsi="Arial"/>
          <w:b/>
          <w:sz w:val="20"/>
          <w:szCs w:val="20"/>
          <w:lang w:eastAsia="it-IT"/>
        </w:rPr>
        <w:t xml:space="preserve">Requisiti morali: </w:t>
      </w:r>
      <w:r>
        <w:rPr>
          <w:rFonts w:eastAsia="Times New Roman" w:cs="Arial" w:ascii="Arial" w:hAnsi="Arial"/>
          <w:sz w:val="20"/>
          <w:szCs w:val="20"/>
          <w:lang w:eastAsia="it-IT"/>
        </w:rPr>
        <w:t>Costituiscono impedimento soggettivo all’esercizio dell’attività:</w:t>
      </w:r>
    </w:p>
    <w:p>
      <w:pPr>
        <w:pStyle w:val="Normal"/>
        <w:numPr>
          <w:ilvl w:val="0"/>
          <w:numId w:val="2"/>
        </w:numPr>
        <w:suppressAutoHyphens w:val="false"/>
        <w:spacing w:lineRule="auto" w:line="240" w:before="120" w:after="120"/>
        <w:ind w:left="720" w:right="567" w:hanging="360"/>
        <w:jc w:val="both"/>
        <w:rPr>
          <w:rFonts w:ascii="Arial" w:hAnsi="Arial" w:eastAsia="Times New Roman" w:cs="Arial"/>
          <w:sz w:val="20"/>
          <w:szCs w:val="20"/>
          <w:lang w:eastAsia="it-IT"/>
        </w:rPr>
      </w:pPr>
      <w:r>
        <w:rPr>
          <w:rFonts w:eastAsia="Times New Roman" w:cs="Arial" w:ascii="Arial" w:hAnsi="Arial"/>
          <w:sz w:val="20"/>
          <w:szCs w:val="20"/>
          <w:lang w:eastAsia="it-IT"/>
        </w:rPr>
        <w:t>l'applicazione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etc. (art. 67, D.lgs. n. 159/2011). In caso di impresa individuale, tali requisiti devono essere posseduti dal titolare; in caso di società/associazioni/organismi collettivi, da legale rappresentante e soggetti indicati dall’art. 85, c.1 e 2, D.lgs. n. 159/2011.</w:t>
      </w:r>
    </w:p>
    <w:p>
      <w:pPr>
        <w:pStyle w:val="Normal"/>
        <w:numPr>
          <w:ilvl w:val="0"/>
          <w:numId w:val="2"/>
        </w:numPr>
        <w:suppressAutoHyphens w:val="false"/>
        <w:spacing w:lineRule="auto" w:line="240" w:before="120" w:after="120"/>
        <w:ind w:left="720" w:right="567" w:hanging="360"/>
        <w:jc w:val="both"/>
        <w:rPr/>
      </w:pPr>
      <w:r>
        <w:rPr>
          <w:rFonts w:eastAsia="Times New Roman" w:cs="Arial" w:ascii="Arial" w:hAnsi="Arial"/>
          <w:sz w:val="20"/>
          <w:szCs w:val="20"/>
          <w:lang w:eastAsia="it-IT"/>
        </w:rPr>
        <w:t>la sussistenza delle condizioni previste dagli art. 11</w:t>
      </w:r>
      <w:r>
        <w:rPr>
          <w:rStyle w:val="FootnoteCharacters"/>
          <w:rStyle w:val="FootnoteAnchor"/>
          <w:rFonts w:eastAsia="Times New Roman" w:cs="Arial" w:ascii="Arial" w:hAnsi="Arial"/>
          <w:sz w:val="20"/>
          <w:szCs w:val="20"/>
          <w:lang w:eastAsia="it-IT"/>
        </w:rPr>
        <w:footnoteReference w:id="5"/>
      </w:r>
      <w:r>
        <w:rPr>
          <w:rFonts w:eastAsia="Times New Roman" w:cs="Arial" w:ascii="Arial" w:hAnsi="Arial"/>
          <w:sz w:val="20"/>
          <w:szCs w:val="20"/>
          <w:lang w:eastAsia="it-IT"/>
        </w:rPr>
        <w:t xml:space="preserve"> e 92</w:t>
      </w:r>
      <w:r>
        <w:rPr>
          <w:rStyle w:val="FootnoteCharacters"/>
          <w:rStyle w:val="FootnoteAnchor"/>
          <w:rFonts w:eastAsia="Times New Roman" w:cs="Arial" w:ascii="Arial" w:hAnsi="Arial"/>
          <w:sz w:val="20"/>
          <w:szCs w:val="20"/>
          <w:lang w:eastAsia="it-IT"/>
        </w:rPr>
        <w:footnoteReference w:id="6"/>
      </w:r>
      <w:r>
        <w:rPr>
          <w:rFonts w:eastAsia="Times New Roman" w:cs="Arial" w:ascii="Arial" w:hAnsi="Arial"/>
          <w:sz w:val="20"/>
          <w:szCs w:val="20"/>
          <w:lang w:eastAsia="it-IT"/>
        </w:rPr>
        <w:t>, TULPS (R.D. n. 773/1931).</w:t>
      </w:r>
    </w:p>
    <w:p>
      <w:pPr>
        <w:pStyle w:val="Normal"/>
        <w:widowControl w:val="false"/>
        <w:spacing w:lineRule="auto" w:line="240" w:before="240" w:after="240"/>
        <w:rPr>
          <w:rFonts w:ascii="Arial" w:hAnsi="Arial" w:eastAsia="Times New Roman" w:cs="Arial"/>
          <w:b/>
          <w:b/>
          <w:bCs/>
          <w:sz w:val="20"/>
          <w:szCs w:val="20"/>
          <w:lang w:eastAsia="it-IT"/>
        </w:rPr>
      </w:pPr>
      <w:r>
        <w:rPr>
          <w:rFonts w:eastAsia="Times New Roman" w:cs="Arial" w:ascii="Arial" w:hAnsi="Arial"/>
          <w:b/>
          <w:bCs/>
          <w:sz w:val="20"/>
          <w:szCs w:val="20"/>
          <w:lang w:eastAsia="it-IT"/>
        </w:rPr>
        <w:t>Requisiti oggettivi:</w:t>
      </w:r>
    </w:p>
    <w:p>
      <w:pPr>
        <w:pStyle w:val="Normal"/>
        <w:shd w:fill="FFFFFF" w:val="clear"/>
        <w:suppressAutoHyphens w:val="false"/>
        <w:spacing w:lineRule="auto" w:line="240" w:before="120" w:after="120"/>
        <w:rPr>
          <w:rFonts w:ascii="Arial" w:hAnsi="Arial" w:eastAsia="Times New Roman" w:cs="Arial"/>
          <w:sz w:val="20"/>
          <w:szCs w:val="20"/>
          <w:lang w:eastAsia="it-IT"/>
        </w:rPr>
      </w:pPr>
      <w:r>
        <w:rPr>
          <w:rFonts w:eastAsia="Times New Roman" w:cs="Arial" w:ascii="Arial" w:hAnsi="Arial"/>
          <w:sz w:val="20"/>
          <w:szCs w:val="20"/>
          <w:lang w:eastAsia="it-IT"/>
        </w:rPr>
        <w:t>Conformità delle luminarie alle prescrizioni delle vigenti normative.</w:t>
      </w:r>
    </w:p>
    <w:p>
      <w:pPr>
        <w:pStyle w:val="Normal"/>
        <w:shd w:fill="FFFFFF" w:val="clear"/>
        <w:suppressAutoHyphens w:val="false"/>
        <w:spacing w:lineRule="auto" w:line="240" w:before="120" w:after="120"/>
        <w:rPr>
          <w:rFonts w:ascii="Arial" w:hAnsi="Arial" w:eastAsia="Times New Roman" w:cs="Arial"/>
          <w:sz w:val="20"/>
          <w:szCs w:val="20"/>
          <w:lang w:eastAsia="it-IT"/>
        </w:rPr>
      </w:pPr>
      <w:r>
        <w:rPr>
          <w:rFonts w:eastAsia="Times New Roman" w:cs="Arial" w:ascii="Arial" w:hAnsi="Arial"/>
          <w:sz w:val="20"/>
          <w:szCs w:val="20"/>
          <w:lang w:eastAsia="it-IT"/>
        </w:rPr>
        <w:t>Rispetto norme sulla sicurezza nei luoghi di lavoro, di cui al D.lgs. n. 81/2006.</w:t>
      </w:r>
    </w:p>
    <w:p>
      <w:pPr>
        <w:pStyle w:val="Normal"/>
        <w:widowControl w:val="false"/>
        <w:shd w:fill="FFFFFF" w:val="clear"/>
        <w:spacing w:lineRule="auto" w:line="240" w:before="240" w:after="240"/>
        <w:rPr>
          <w:rFonts w:ascii="Arial" w:hAnsi="Arial" w:eastAsia="Times New Roman" w:cs="Arial"/>
          <w:sz w:val="20"/>
          <w:szCs w:val="20"/>
          <w:lang w:eastAsia="it-IT"/>
        </w:rPr>
      </w:pPr>
      <w:r>
        <w:rPr>
          <w:rFonts w:eastAsia="Times New Roman" w:cs="Arial" w:ascii="Arial" w:hAnsi="Arial"/>
          <w:b/>
          <w:bCs/>
          <w:sz w:val="20"/>
          <w:szCs w:val="20"/>
          <w:lang w:eastAsia="it-IT"/>
        </w:rPr>
        <w:t>TEMPI SPECIFICI E CONTROLLI</w:t>
      </w:r>
    </w:p>
    <w:p>
      <w:pPr>
        <w:pStyle w:val="Normal"/>
        <w:suppressAutoHyphens w:val="false"/>
        <w:spacing w:lineRule="auto" w:line="240" w:before="120" w:after="120"/>
        <w:jc w:val="both"/>
        <w:rPr/>
      </w:pPr>
      <w:r>
        <w:rPr>
          <w:rFonts w:eastAsia="Times New Roman" w:cs="Arial" w:ascii="Arial" w:hAnsi="Arial"/>
          <w:bCs/>
          <w:sz w:val="20"/>
          <w:szCs w:val="20"/>
          <w:lang w:eastAsia="it-IT"/>
        </w:rPr>
        <w:t xml:space="preserve">L’attività oggetto di comunicazione </w:t>
      </w:r>
      <w:r>
        <w:rPr>
          <w:rFonts w:eastAsia="Times New Roman" w:cs="Arial" w:ascii="Arial" w:hAnsi="Arial"/>
          <w:b/>
          <w:bCs/>
          <w:sz w:val="20"/>
          <w:szCs w:val="20"/>
          <w:lang w:eastAsia="it-IT"/>
        </w:rPr>
        <w:t>può essere iniziata dalla sua presentazione</w:t>
      </w:r>
      <w:r>
        <w:rPr>
          <w:rFonts w:eastAsia="Times New Roman" w:cs="Arial" w:ascii="Arial" w:hAnsi="Arial"/>
          <w:bCs/>
          <w:sz w:val="20"/>
          <w:szCs w:val="20"/>
          <w:lang w:eastAsia="it-IT"/>
        </w:rPr>
        <w:t>. In caso di comunicazione irregolare/incompleta, entro ..... giorni dal ricevimento, sono comunicate all'interessato le cause di irregolarità/incompletezza e il termine per l'integrazione prevedendosi, in difetto, l’archiviazione della comunicazione per improcedibilità.</w:t>
      </w:r>
    </w:p>
    <w:p>
      <w:pPr>
        <w:pStyle w:val="Normal"/>
        <w:shd w:fill="FFFFFF" w:val="clear"/>
        <w:suppressAutoHyphens w:val="false"/>
        <w:spacing w:lineRule="auto" w:line="240" w:before="120" w:after="120"/>
        <w:rPr>
          <w:rFonts w:ascii="Arial" w:hAnsi="Arial" w:eastAsia="Times New Roman" w:cs="Arial"/>
          <w:b/>
          <w:b/>
          <w:sz w:val="20"/>
          <w:szCs w:val="20"/>
          <w:lang w:eastAsia="it-IT"/>
        </w:rPr>
      </w:pPr>
      <w:r>
        <w:rPr>
          <w:rFonts w:eastAsia="Times New Roman" w:cs="Arial" w:ascii="Arial" w:hAnsi="Arial"/>
          <w:bCs/>
          <w:sz w:val="20"/>
          <w:szCs w:val="20"/>
          <w:lang w:eastAsia="it-IT"/>
        </w:rPr>
        <w:t>Le dichiarazioni false/mendaci sono sanzionate ex artt. 71 e ss. del D.P.R. n. 445/2000.</w:t>
      </w:r>
    </w:p>
    <w:sectPr>
      <w:footerReference w:type="default" r:id="rId2"/>
      <w:footerReference w:type="first" r:id="rId3"/>
      <w:footnotePr>
        <w:numFmt w:val="decimal"/>
      </w:footnotePr>
      <w:type w:val="nextPage"/>
      <w:pgSz w:w="11906" w:h="16838"/>
      <w:pgMar w:left="1134" w:right="1134" w:header="0" w:top="1134" w:footer="340" w:bottom="1134" w:gutter="0"/>
      <w:pgNumType w:fmt="decimal"/>
      <w:formProt w:val="false"/>
      <w:titlePg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swiss"/>
    <w:pitch w:val="variable"/>
  </w:font>
  <w:font w:name="Courier New">
    <w:charset w:val="00"/>
    <w:family w:val="modern"/>
    <w:pitch w:val="default"/>
  </w:font>
  <w:font w:name="Wingdings">
    <w:charset w:val="02"/>
    <w:family w:val="auto"/>
    <w:pitch w:val="variable"/>
  </w:font>
  <w:font w:name="Liberation Sans">
    <w:altName w:val="Arial"/>
    <w:charset w:val="00"/>
    <w:family w:val="swiss"/>
    <w:pitch w:val="variable"/>
  </w:font>
  <w:font w:name="Times">
    <w:altName w:val="Times New Roman"/>
    <w:charset w:val="00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Footer"/>
      <w:spacing w:before="0" w:after="200"/>
      <w:jc w:val="right"/>
      <w:rPr/>
    </w:pPr>
    <w:bookmarkStart w:id="1" w:name="_Hlk479843000"/>
    <w:bookmarkEnd w:id="1"/>
    <w:r>
      <w:rPr>
        <w:rFonts w:eastAsia="Times" w:cs="Arial" w:ascii="Arial" w:hAnsi="Arial"/>
        <w:sz w:val="10"/>
        <w:szCs w:val="10"/>
      </w:rPr>
      <w:t xml:space="preserve">Pag. </w:t>
    </w:r>
    <w:r>
      <w:rPr>
        <w:rFonts w:eastAsia="Times" w:cs="Arial" w:ascii="Arial" w:hAnsi="Arial"/>
        <w:sz w:val="10"/>
        <w:szCs w:val="10"/>
      </w:rPr>
      <w:fldChar w:fldCharType="begin"/>
    </w:r>
    <w:r>
      <w:instrText> PAGE </w:instrText>
    </w:r>
    <w:r>
      <w:fldChar w:fldCharType="separate"/>
    </w:r>
    <w:r>
      <w:t>4</w:t>
    </w:r>
    <w:r>
      <w:fldChar w:fldCharType="end"/>
    </w:r>
    <w:r>
      <w:rPr>
        <w:rFonts w:eastAsia="Times" w:cs="Arial" w:ascii="Arial" w:hAnsi="Arial"/>
        <w:sz w:val="10"/>
        <w:szCs w:val="10"/>
      </w:rPr>
      <w:t xml:space="preserve"> di </w:t>
    </w:r>
    <w:r>
      <w:rPr>
        <w:rFonts w:cs="Arial" w:ascii="Arial" w:hAnsi="Arial"/>
        <w:bCs/>
        <w:sz w:val="10"/>
        <w:szCs w:val="10"/>
      </w:rPr>
      <w:fldChar w:fldCharType="begin"/>
    </w:r>
    <w:r>
      <w:instrText> NUMPAGES \* ARABIC </w:instrText>
    </w:r>
    <w:r>
      <w:fldChar w:fldCharType="separate"/>
    </w:r>
    <w:r>
      <w:t>4</w:t>
    </w:r>
    <w:r>
      <w:fldChar w:fldCharType="end"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tbl>
    <w:tblPr>
      <w:tblW w:w="9720" w:type="dxa"/>
      <w:jc w:val="left"/>
      <w:tblInd w:w="0" w:type="dxa"/>
      <w:tblBorders>
        <w:bottom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  <w:tblGrid>
      <w:gridCol w:w="711"/>
      <w:gridCol w:w="1192"/>
      <w:gridCol w:w="7817"/>
    </w:tblGrid>
    <w:tr>
      <w:trPr>
        <w:trHeight w:val="142" w:hRule="atLeast"/>
      </w:trPr>
      <w:tc>
        <w:tcPr>
          <w:tcW w:w="711" w:type="dxa"/>
          <w:vMerge w:val="restart"/>
          <w:tcBorders>
            <w:bottom w:val="single" w:sz="4" w:space="0" w:color="000000"/>
            <w:insideH w:val="single" w:sz="4" w:space="0" w:color="000000"/>
          </w:tcBorders>
          <w:shd w:fill="auto" w:val="clear"/>
          <w:vAlign w:val="center"/>
        </w:tcPr>
        <w:p>
          <w:pPr>
            <w:pStyle w:val="Normal"/>
            <w:suppressAutoHyphens w:val="false"/>
            <w:spacing w:lineRule="auto" w:line="240" w:before="0" w:after="0"/>
            <w:ind w:right="7370" w:hanging="0"/>
            <w:jc w:val="right"/>
            <w:rPr>
              <w:rFonts w:ascii="Arial" w:hAnsi="Arial" w:eastAsia="Times" w:cs="Arial"/>
              <w:sz w:val="14"/>
              <w:szCs w:val="14"/>
              <w:lang w:eastAsia="it-IT"/>
            </w:rPr>
          </w:pPr>
          <w:bookmarkStart w:id="2" w:name="_Hlk479842971"/>
          <w:bookmarkEnd w:id="2"/>
          <w:r>
            <w:rPr>
              <w:rFonts w:eastAsia="Times" w:cs="Times New Roman" w:ascii="Times" w:hAnsi="Times"/>
              <w:sz w:val="24"/>
              <w:szCs w:val="24"/>
              <w:lang w:val="en-US" w:eastAsia="en-US"/>
            </w:rPr>
            <w:drawing>
              <wp:inline distT="0" distB="0" distL="0" distR="0">
                <wp:extent cx="447675" cy="190500"/>
                <wp:effectExtent l="0" t="0" r="0" b="0"/>
                <wp:docPr id="1" name="Immagine 4" descr="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Immagine 4" descr="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 l="-79" t="-188" r="874" b="-188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  <w:insideH w:val="single" w:sz="4" w:space="0" w:color="000000"/>
          </w:tcBorders>
          <w:shd w:fill="FFFFFF" w:val="clear"/>
          <w:vAlign w:val="center"/>
        </w:tcPr>
        <w:p>
          <w:pPr>
            <w:pStyle w:val="Normal"/>
            <w:suppressAutoHyphens w:val="false"/>
            <w:spacing w:lineRule="auto" w:line="240" w:before="0" w:after="0"/>
            <w:jc w:val="center"/>
            <w:rPr>
              <w:rFonts w:ascii="Arial" w:hAnsi="Arial" w:eastAsia="Times" w:cs="Arial"/>
              <w:sz w:val="10"/>
              <w:szCs w:val="10"/>
              <w:lang w:eastAsia="it-IT"/>
            </w:rPr>
          </w:pPr>
          <w:r>
            <w:rPr>
              <w:rFonts w:eastAsia="Times" w:cs="Arial" w:ascii="Arial" w:hAnsi="Arial"/>
              <w:sz w:val="10"/>
              <w:szCs w:val="10"/>
              <w:lang w:eastAsia="it-IT"/>
            </w:rPr>
            <w:t>Cod. 22216s.14.2.s</w:t>
          </w:r>
        </w:p>
      </w:tc>
      <w:tc>
        <w:tcPr>
          <w:tcW w:w="7817" w:type="dxa"/>
          <w:tcBorders/>
          <w:shd w:fill="auto" w:val="clear"/>
          <w:vAlign w:val="center"/>
        </w:tcPr>
        <w:p>
          <w:pPr>
            <w:pStyle w:val="Normal"/>
            <w:suppressAutoHyphens w:val="false"/>
            <w:snapToGrid w:val="false"/>
            <w:spacing w:lineRule="auto" w:line="240" w:before="0" w:after="0"/>
            <w:ind w:right="87" w:hanging="0"/>
            <w:rPr>
              <w:rFonts w:ascii="Arial" w:hAnsi="Arial" w:eastAsia="Times" w:cs="Arial"/>
              <w:sz w:val="10"/>
              <w:szCs w:val="10"/>
              <w:lang w:eastAsia="it-IT"/>
            </w:rPr>
          </w:pPr>
          <w:r>
            <w:rPr>
              <w:rFonts w:eastAsia="Times" w:cs="Arial" w:ascii="Arial" w:hAnsi="Arial"/>
              <w:sz w:val="10"/>
              <w:szCs w:val="10"/>
              <w:lang w:eastAsia="it-IT"/>
            </w:rPr>
          </w:r>
        </w:p>
      </w:tc>
    </w:tr>
    <w:tr>
      <w:trPr>
        <w:trHeight w:val="142" w:hRule="atLeast"/>
      </w:trPr>
      <w:tc>
        <w:tcPr>
          <w:tcW w:w="711" w:type="dxa"/>
          <w:vMerge w:val="continue"/>
          <w:tcBorders>
            <w:top w:val="single" w:sz="4" w:space="0" w:color="000000"/>
          </w:tcBorders>
          <w:shd w:fill="auto" w:val="clear"/>
          <w:vAlign w:val="center"/>
        </w:tcPr>
        <w:p>
          <w:pPr>
            <w:pStyle w:val="Normal"/>
            <w:suppressAutoHyphens w:val="false"/>
            <w:snapToGrid w:val="false"/>
            <w:spacing w:lineRule="auto" w:line="240" w:before="0" w:after="0"/>
            <w:rPr>
              <w:rFonts w:ascii="Arial" w:hAnsi="Arial" w:eastAsia="Times" w:cs="Arial"/>
              <w:sz w:val="14"/>
              <w:szCs w:val="14"/>
              <w:lang w:eastAsia="it-IT"/>
            </w:rPr>
          </w:pPr>
          <w:r>
            <w:rPr>
              <w:rFonts w:eastAsia="Times" w:cs="Arial" w:ascii="Arial" w:hAnsi="Arial"/>
              <w:sz w:val="14"/>
              <w:szCs w:val="14"/>
              <w:lang w:eastAsia="it-IT"/>
            </w:rPr>
          </w:r>
        </w:p>
      </w:tc>
      <w:tc>
        <w:tcPr>
          <w:tcW w:w="1192" w:type="dxa"/>
          <w:tcBorders>
            <w:top w:val="single" w:sz="4" w:space="0" w:color="000000"/>
          </w:tcBorders>
          <w:shd w:fill="auto" w:val="clear"/>
          <w:vAlign w:val="center"/>
        </w:tcPr>
        <w:p>
          <w:pPr>
            <w:pStyle w:val="Normal"/>
            <w:suppressAutoHyphens w:val="false"/>
            <w:spacing w:lineRule="auto" w:line="240" w:before="0" w:after="0"/>
            <w:jc w:val="center"/>
            <w:rPr>
              <w:rFonts w:ascii="Arial" w:hAnsi="Arial" w:eastAsia="Times" w:cs="Arial"/>
              <w:sz w:val="10"/>
              <w:szCs w:val="10"/>
              <w:lang w:eastAsia="it-IT"/>
            </w:rPr>
          </w:pPr>
          <w:r>
            <w:rPr>
              <w:rFonts w:eastAsia="Times" w:cs="Arial" w:ascii="Arial" w:hAnsi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tcBorders/>
          <w:shd w:fill="auto" w:val="clear"/>
          <w:vAlign w:val="center"/>
        </w:tcPr>
        <w:p>
          <w:pPr>
            <w:pStyle w:val="Normal"/>
            <w:suppressAutoHyphens w:val="false"/>
            <w:spacing w:lineRule="auto" w:line="240" w:before="0" w:after="0"/>
            <w:ind w:right="87" w:hanging="0"/>
            <w:jc w:val="right"/>
            <w:rPr>
              <w:rFonts w:ascii="Arial" w:hAnsi="Arial" w:eastAsia="Times" w:cs="Arial"/>
              <w:sz w:val="10"/>
              <w:szCs w:val="10"/>
              <w:lang w:eastAsia="it-IT"/>
            </w:rPr>
          </w:pPr>
          <w:r>
            <w:rPr>
              <w:rFonts w:eastAsia="Times" w:cs="Arial" w:ascii="Arial" w:hAnsi="Arial"/>
              <w:sz w:val="10"/>
              <w:szCs w:val="10"/>
              <w:lang w:eastAsia="it-IT"/>
            </w:rPr>
            <w:t xml:space="preserve">Pag. </w:t>
          </w:r>
          <w:r>
            <w:rPr>
              <w:rFonts w:eastAsia="Times" w:cs="Arial" w:ascii="Arial" w:hAnsi="Arial"/>
              <w:sz w:val="10"/>
              <w:szCs w:val="10"/>
              <w:lang w:eastAsia="it-IT"/>
            </w:rPr>
            <w:fldChar w:fldCharType="begin"/>
          </w:r>
          <w:r>
            <w:instrText> PAGE </w:instrText>
          </w:r>
          <w:r>
            <w:fldChar w:fldCharType="separate"/>
          </w:r>
          <w:r>
            <w:t>1</w:t>
          </w:r>
          <w:r>
            <w:fldChar w:fldCharType="end"/>
          </w:r>
          <w:r>
            <w:rPr>
              <w:rFonts w:eastAsia="Times" w:cs="Arial" w:ascii="Arial" w:hAnsi="Arial"/>
              <w:sz w:val="10"/>
              <w:szCs w:val="10"/>
              <w:lang w:eastAsia="it-IT"/>
            </w:rPr>
            <w:t xml:space="preserve"> di </w:t>
          </w:r>
          <w:r>
            <w:rPr>
              <w:rFonts w:eastAsia="Times" w:cs="Arial" w:ascii="Arial" w:hAnsi="Arial"/>
              <w:bCs/>
              <w:sz w:val="10"/>
              <w:szCs w:val="10"/>
              <w:lang w:eastAsia="it-IT"/>
            </w:rPr>
            <w:fldChar w:fldCharType="begin"/>
          </w:r>
          <w:r>
            <w:instrText> NUMPAGES \* ARABIC </w:instrText>
          </w:r>
          <w:r>
            <w:fldChar w:fldCharType="separate"/>
          </w:r>
          <w:r>
            <w:t>4</w:t>
          </w:r>
          <w:r>
            <w:fldChar w:fldCharType="end"/>
          </w:r>
        </w:p>
      </w:tc>
    </w:tr>
  </w:tbl>
  <w:p>
    <w:pPr>
      <w:pStyle w:val="Normal"/>
      <w:tabs>
        <w:tab w:val="center" w:pos="4819" w:leader="none"/>
        <w:tab w:val="right" w:pos="9638" w:leader="none"/>
      </w:tabs>
      <w:suppressAutoHyphens w:val="false"/>
      <w:spacing w:lineRule="auto" w:line="240" w:before="0" w:after="0"/>
      <w:rPr>
        <w:rFonts w:ascii="Times New Roman" w:hAnsi="Times New Roman" w:eastAsia="Times New Roman" w:cs="Times New Roman"/>
        <w:sz w:val="10"/>
        <w:szCs w:val="24"/>
        <w:lang w:eastAsia="it-IT"/>
      </w:rPr>
    </w:pPr>
    <w:r>
      <w:rPr>
        <w:rFonts w:eastAsia="Times New Roman" w:cs="Times New Roman" w:ascii="Times New Roman" w:hAnsi="Times New Roman"/>
        <w:sz w:val="10"/>
        <w:szCs w:val="24"/>
        <w:lang w:eastAsia="it-IT"/>
      </w:rPr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Footnote"/>
        <w:rPr>
          <w:rFonts w:ascii="Arial" w:hAnsi="Arial" w:cs="Arial"/>
          <w:sz w:val="16"/>
          <w:szCs w:val="16"/>
        </w:rPr>
      </w:pPr>
      <w:r>
        <w:rPr>
          <w:rFonts w:eastAsia="Arial" w:cs="Arial" w:ascii="Arial" w:hAnsi="Arial"/>
          <w:sz w:val="16"/>
          <w:szCs w:val="16"/>
        </w:rPr>
        <w:footnoteRef/>
        <w:tab/>
        <w:t xml:space="preserve"> </w:t>
      </w:r>
      <w:r>
        <w:rPr>
          <w:rFonts w:cs="Arial" w:ascii="Arial" w:hAnsi="Arial"/>
          <w:sz w:val="16"/>
          <w:szCs w:val="16"/>
        </w:rPr>
        <w:t>L’installazione delle luminarie può essere richiesta anche da privati, quali committenti che si avvalgono di imprese autorizzate;</w:t>
      </w:r>
    </w:p>
  </w:footnote>
  <w:footnote w:id="3">
    <w:p>
      <w:pPr>
        <w:pStyle w:val="Footnote"/>
        <w:rPr/>
      </w:pPr>
      <w:r>
        <w:rPr>
          <w:sz w:val="16"/>
          <w:szCs w:val="16"/>
        </w:rPr>
        <w:footnoteRef/>
        <w:tab/>
        <w:t xml:space="preserve"> </w:t>
      </w:r>
      <w:r>
        <w:rPr>
          <w:rFonts w:cs="Arial" w:ascii="Arial" w:hAnsi="Arial"/>
          <w:sz w:val="16"/>
          <w:szCs w:val="16"/>
        </w:rPr>
        <w:t>Le istanze, segnalazioni o comunicazioni producono effetti anche in caso di mancato rilascio della ricevuta;</w:t>
      </w:r>
    </w:p>
  </w:footnote>
  <w:footnote w:id="4">
    <w:p>
      <w:pPr>
        <w:pStyle w:val="Footnote"/>
        <w:rPr/>
      </w:pPr>
      <w:r>
        <w:rPr>
          <w:sz w:val="16"/>
          <w:szCs w:val="16"/>
        </w:rPr>
        <w:footnoteRef/>
        <w:tab/>
        <w:t xml:space="preserve"> </w:t>
      </w:r>
      <w:r>
        <w:rPr>
          <w:rFonts w:cs="Arial" w:ascii="Arial" w:hAnsi="Arial"/>
          <w:sz w:val="16"/>
          <w:szCs w:val="16"/>
        </w:rPr>
        <w:t>In relazione alle specifiche tipologie di titolo abilitativo.</w:t>
      </w:r>
    </w:p>
  </w:footnote>
  <w:footnote w:id="5">
    <w:p>
      <w:pPr>
        <w:pStyle w:val="Normal"/>
        <w:spacing w:lineRule="auto" w:line="240" w:before="0" w:after="0"/>
        <w:jc w:val="both"/>
        <w:rPr/>
      </w:pPr>
      <w:r>
        <w:rPr>
          <w:rFonts w:eastAsia="Arial" w:cs="Arial" w:ascii="Arial" w:hAnsi="Arial"/>
          <w:sz w:val="16"/>
          <w:szCs w:val="16"/>
        </w:rPr>
        <w:footnoteRef/>
        <w:tab/>
        <w:t xml:space="preserve"> </w:t>
      </w:r>
      <w:r>
        <w:rPr>
          <w:rFonts w:cs="Arial" w:ascii="Arial" w:hAnsi="Arial"/>
          <w:sz w:val="16"/>
          <w:szCs w:val="16"/>
          <w:lang w:eastAsia="en-US"/>
        </w:rPr>
        <w:t xml:space="preserve">Art. 11 - </w:t>
      </w:r>
      <w:r>
        <w:rPr>
          <w:rFonts w:cs="Arial" w:ascii="Arial" w:hAnsi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>
      <w:pPr>
        <w:pStyle w:val="Normal"/>
        <w:suppressAutoHyphens w:val="false"/>
        <w:spacing w:lineRule="auto" w:line="240" w:before="0" w:after="0"/>
        <w:jc w:val="both"/>
        <w:rPr>
          <w:rFonts w:ascii="Arial" w:hAnsi="Arial" w:cs="Arial"/>
          <w:i/>
          <w:i/>
          <w:sz w:val="16"/>
          <w:szCs w:val="16"/>
          <w:lang w:eastAsia="en-US"/>
        </w:rPr>
      </w:pPr>
      <w:r>
        <w:rPr>
          <w:rFonts w:cs="Arial" w:ascii="Arial" w:hAnsi="Arial"/>
          <w:i/>
          <w:sz w:val="16"/>
          <w:szCs w:val="16"/>
          <w:lang w:eastAsia="en-US"/>
        </w:rPr>
        <w:tab/>
        <w:t>1 a chi ha riportato una condanna a pena restrittiva della libertà personale superiore a tre anni per delitto non colposo e non ha ottenuto la riabilitazione;</w:t>
      </w:r>
    </w:p>
    <w:p>
      <w:pPr>
        <w:pStyle w:val="Normal"/>
        <w:suppressAutoHyphens w:val="false"/>
        <w:spacing w:lineRule="auto" w:line="240" w:before="0" w:after="0"/>
        <w:jc w:val="both"/>
        <w:rPr>
          <w:rFonts w:ascii="Arial" w:hAnsi="Arial" w:cs="Arial"/>
          <w:i/>
          <w:i/>
          <w:sz w:val="16"/>
          <w:szCs w:val="16"/>
          <w:lang w:eastAsia="en-US"/>
        </w:rPr>
      </w:pPr>
      <w:r>
        <w:rPr>
          <w:rFonts w:cs="Arial" w:ascii="Arial" w:hAnsi="Arial"/>
          <w:i/>
          <w:sz w:val="16"/>
          <w:szCs w:val="16"/>
          <w:lang w:eastAsia="en-US"/>
        </w:rPr>
        <w:tab/>
        <w:t xml:space="preserve">2 a chi è sottoposto all'ammonizione o a misura di sicurezza personale o è stato dichiarato delinquente abituale, professionale o per tendenza. </w:t>
      </w:r>
    </w:p>
    <w:p>
      <w:pPr>
        <w:pStyle w:val="Normal"/>
        <w:suppressAutoHyphens w:val="false"/>
        <w:spacing w:lineRule="auto" w:line="240" w:before="0" w:after="0"/>
        <w:jc w:val="both"/>
        <w:rPr>
          <w:rFonts w:ascii="Arial" w:hAnsi="Arial" w:cs="Arial"/>
          <w:i/>
          <w:i/>
          <w:sz w:val="16"/>
          <w:szCs w:val="16"/>
          <w:lang w:eastAsia="en-US"/>
        </w:rPr>
      </w:pPr>
      <w:r>
        <w:rPr>
          <w:rFonts w:cs="Arial" w:ascii="Arial" w:hAnsi="Arial"/>
          <w:i/>
          <w:sz w:val="16"/>
          <w:szCs w:val="16"/>
          <w:lang w:eastAsia="en-US"/>
        </w:rPr>
        <w:tab/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>
      <w:pPr>
        <w:pStyle w:val="Normal"/>
        <w:suppressAutoHyphens w:val="false"/>
        <w:spacing w:lineRule="auto" w:line="240" w:before="0" w:after="0"/>
        <w:jc w:val="both"/>
        <w:rPr>
          <w:rFonts w:ascii="Arial" w:hAnsi="Arial" w:cs="Arial"/>
          <w:i/>
          <w:i/>
          <w:sz w:val="16"/>
          <w:szCs w:val="16"/>
          <w:lang w:eastAsia="en-US"/>
        </w:rPr>
      </w:pPr>
      <w:r>
        <w:rPr>
          <w:rFonts w:cs="Arial" w:ascii="Arial" w:hAnsi="Arial"/>
          <w:i/>
          <w:sz w:val="16"/>
          <w:szCs w:val="16"/>
          <w:lang w:eastAsia="en-US"/>
        </w:rPr>
        <w:tab/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dell’autorizzazione;</w:t>
      </w:r>
    </w:p>
  </w:footnote>
  <w:footnote w:id="6">
    <w:p>
      <w:pPr>
        <w:pStyle w:val="Normal"/>
        <w:suppressAutoHyphens w:val="false"/>
        <w:autoSpaceDE w:val="false"/>
        <w:spacing w:lineRule="auto" w:line="240" w:before="0" w:after="0"/>
        <w:jc w:val="both"/>
        <w:rPr>
          <w:rFonts w:ascii="Arial" w:hAnsi="Arial" w:eastAsia="Times New Roman" w:cs="Arial"/>
          <w:i/>
          <w:i/>
          <w:sz w:val="16"/>
          <w:szCs w:val="16"/>
          <w:lang w:eastAsia="it-IT"/>
        </w:rPr>
      </w:pPr>
      <w:r>
        <w:rPr>
          <w:rFonts w:eastAsia="Arial" w:cs="Arial" w:ascii="Arial" w:hAnsi="Arial"/>
          <w:sz w:val="16"/>
          <w:szCs w:val="16"/>
        </w:rPr>
        <w:footnoteRef/>
        <w:tab/>
        <w:t xml:space="preserve"> </w:t>
      </w:r>
      <w:r>
        <w:rPr>
          <w:rFonts w:eastAsia="Times New Roman" w:cs="Arial" w:ascii="Arial" w:hAnsi="Arial"/>
          <w:i/>
          <w:sz w:val="16"/>
          <w:szCs w:val="16"/>
          <w:lang w:eastAsia="it-IT"/>
        </w:rPr>
        <w:t>Oltre a quanto è preveduto dall'</w:t>
      </w:r>
      <w:r>
        <w:rPr>
          <w:rFonts w:eastAsia="Times New Roman" w:cs="Arial" w:ascii="Arial" w:hAnsi="Arial"/>
          <w:i/>
          <w:iCs/>
          <w:sz w:val="16"/>
          <w:szCs w:val="16"/>
          <w:lang w:eastAsia="it-IT"/>
        </w:rPr>
        <w:t xml:space="preserve">art. 11, </w:t>
      </w:r>
      <w:r>
        <w:rPr>
          <w:rFonts w:eastAsia="Times New Roman" w:cs="Arial" w:ascii="Arial" w:hAnsi="Arial"/>
          <w:i/>
          <w:sz w:val="16"/>
          <w:szCs w:val="16"/>
          <w:lang w:eastAsia="it-IT"/>
        </w:rPr>
        <w:t>la licenza di esercizio pubblico e l'autorizzazione di cui all'art. 89 non possono essere date a chi sia stato condannato per reati contro la moralità pubblica e il buon costume, o contro la sanità pubblica o per giuochi d'azzardo, o</w:t>
      </w:r>
      <w:r>
        <w:rPr>
          <w:rFonts w:eastAsia="Times New Roman" w:cs="Arial" w:ascii="Arial" w:hAnsi="Arial"/>
          <w:sz w:val="16"/>
          <w:szCs w:val="16"/>
          <w:lang w:eastAsia="it-IT"/>
        </w:rPr>
        <w:t xml:space="preserve"> </w:t>
      </w:r>
      <w:r>
        <w:rPr>
          <w:rFonts w:eastAsia="Times New Roman" w:cs="Arial" w:ascii="Arial" w:hAnsi="Arial"/>
          <w:i/>
          <w:sz w:val="16"/>
          <w:szCs w:val="16"/>
          <w:lang w:eastAsia="it-IT"/>
        </w:rPr>
        <w:t>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tabs>
          <w:tab w:val="num" w:pos="708"/>
        </w:tabs>
        <w:ind w:left="720" w:hanging="360"/>
      </w:pPr>
      <w:rPr>
        <w:rFonts w:ascii="Symbol" w:hAnsi="Symbol" w:cs="Symbol" w:hint="default"/>
        <w:sz w:val="20"/>
        <w:szCs w:val="20"/>
        <w:rFonts w:cs="Symbol"/>
        <w:lang w:eastAsia="it-IT"/>
      </w:rPr>
    </w:lvl>
  </w:abstractNum>
  <w:abstractNum w:abstractNumId="2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0"/>
        <w:szCs w:val="20"/>
        <w:rFonts w:cs="Symbol"/>
        <w:lang w:eastAsia="it-IT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708"/>
        </w:tabs>
        <w:ind w:left="720" w:hanging="360"/>
      </w:pPr>
      <w:rPr>
        <w:rFonts w:ascii="Symbol" w:hAnsi="Symbol" w:cs="Symbol" w:hint="default"/>
        <w:sz w:val="20"/>
        <w:szCs w:val="20"/>
        <w:rFonts w:cs="Symbol"/>
        <w:lang w:eastAsia="it-IT"/>
      </w:rPr>
    </w:lvl>
  </w:abstractNum>
  <w:abstractNum w:abstractNumId="4">
    <w:lvl w:ilvl="0">
      <w:start w:val="1"/>
      <w:numFmt w:val="bullet"/>
      <w:lvlText w:val=""/>
      <w:lvlJc w:val="left"/>
      <w:pPr>
        <w:tabs>
          <w:tab w:val="num" w:pos="708"/>
        </w:tabs>
        <w:ind w:left="720" w:hanging="360"/>
      </w:pPr>
      <w:rPr>
        <w:rFonts w:ascii="Symbol" w:hAnsi="Symbol" w:cs="Symbol" w:hint="default"/>
        <w:rFonts w:cs="Symbol"/>
      </w:rPr>
    </w:lvl>
  </w:abstractNum>
  <w:abstractNum w:abstractNumId="5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  <w:sz w:val="20"/>
        <w:szCs w:val="20"/>
        <w:rFonts w:cs="Symbol"/>
        <w:lang w:eastAsia="it-IT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708"/>
        </w:tabs>
        <w:ind w:left="720" w:hanging="360"/>
      </w:pPr>
      <w:rPr>
        <w:rFonts w:ascii="Symbol" w:hAnsi="Symbol" w:cs="Symbol" w:hint="default"/>
        <w:sz w:val="20"/>
        <w:szCs w:val="20"/>
        <w:rFonts w:cs="Symbol"/>
        <w:lang w:eastAsia="it-IT"/>
      </w:rPr>
    </w:lvl>
  </w:abstractNum>
  <w:abstractNum w:abstractNumId="7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compat>
    <w:doNotExpandShiftReturn/>
  </w:compat>
  <w:autoHyphenation w:val="false"/>
  <w:footnotePr>
    <w:numFmt w:val="decimal"/>
    <w:footnote w:id="0"/>
    <w:footnote w:id="1"/>
  </w:footnotePr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DejaVu Sans"/>
        <w:sz w:val="24"/>
        <w:szCs w:val="24"/>
        <w:lang w:val="en-US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bidi w:val="0"/>
      <w:spacing w:lineRule="auto" w:line="276" w:before="0" w:after="200"/>
    </w:pPr>
    <w:rPr>
      <w:rFonts w:ascii="Calibri" w:hAnsi="Calibri" w:eastAsia="Calibri" w:cs="Calibri"/>
      <w:color w:val="auto"/>
      <w:sz w:val="22"/>
      <w:szCs w:val="22"/>
      <w:lang w:val="it-IT" w:bidi="ar-SA" w:eastAsia="zh-CN"/>
    </w:rPr>
  </w:style>
  <w:style w:type="character" w:styleId="WW8Num1z0">
    <w:name w:val="WW8Num1z0"/>
    <w:qFormat/>
    <w:rPr>
      <w:rFonts w:ascii="Symbol" w:hAnsi="Symbol" w:cs="Symbol"/>
      <w:sz w:val="20"/>
    </w:rPr>
  </w:style>
  <w:style w:type="character" w:styleId="WW8Num1z1">
    <w:name w:val="WW8Num1z1"/>
    <w:qFormat/>
    <w:rPr>
      <w:rFonts w:ascii="Courier New" w:hAnsi="Courier New" w:cs="Courier New"/>
      <w:sz w:val="20"/>
    </w:rPr>
  </w:style>
  <w:style w:type="character" w:styleId="WW8Num1z2">
    <w:name w:val="WW8Num1z2"/>
    <w:qFormat/>
    <w:rPr>
      <w:rFonts w:ascii="Wingdings" w:hAnsi="Wingdings" w:cs="Wingdings"/>
      <w:sz w:val="20"/>
    </w:rPr>
  </w:style>
  <w:style w:type="character" w:styleId="WW8Num2z0">
    <w:name w:val="WW8Num2z0"/>
    <w:qFormat/>
    <w:rPr/>
  </w:style>
  <w:style w:type="character" w:styleId="WW8Num2z1">
    <w:name w:val="WW8Num2z1"/>
    <w:qFormat/>
    <w:rPr/>
  </w:style>
  <w:style w:type="character" w:styleId="WW8Num2z2">
    <w:name w:val="WW8Num2z2"/>
    <w:qFormat/>
    <w:rPr/>
  </w:style>
  <w:style w:type="character" w:styleId="WW8Num2z3">
    <w:name w:val="WW8Num2z3"/>
    <w:qFormat/>
    <w:rPr/>
  </w:style>
  <w:style w:type="character" w:styleId="WW8Num2z4">
    <w:name w:val="WW8Num2z4"/>
    <w:qFormat/>
    <w:rPr/>
  </w:style>
  <w:style w:type="character" w:styleId="WW8Num2z5">
    <w:name w:val="WW8Num2z5"/>
    <w:qFormat/>
    <w:rPr/>
  </w:style>
  <w:style w:type="character" w:styleId="WW8Num2z6">
    <w:name w:val="WW8Num2z6"/>
    <w:qFormat/>
    <w:rPr/>
  </w:style>
  <w:style w:type="character" w:styleId="WW8Num2z7">
    <w:name w:val="WW8Num2z7"/>
    <w:qFormat/>
    <w:rPr/>
  </w:style>
  <w:style w:type="character" w:styleId="WW8Num2z8">
    <w:name w:val="WW8Num2z8"/>
    <w:qFormat/>
    <w:rPr/>
  </w:style>
  <w:style w:type="character" w:styleId="WW8Num3z0">
    <w:name w:val="WW8Num3z0"/>
    <w:qFormat/>
    <w:rPr>
      <w:rFonts w:ascii="Symbol" w:hAnsi="Symbol" w:eastAsia="Times New Roman" w:cs="Symbol"/>
      <w:sz w:val="20"/>
      <w:szCs w:val="20"/>
      <w:lang w:eastAsia="it-IT"/>
    </w:rPr>
  </w:style>
  <w:style w:type="character" w:styleId="WW8Num3z1">
    <w:name w:val="WW8Num3z1"/>
    <w:qFormat/>
    <w:rPr>
      <w:rFonts w:ascii="Courier New" w:hAnsi="Courier New" w:cs="Courier New"/>
    </w:rPr>
  </w:style>
  <w:style w:type="character" w:styleId="WW8Num3z2">
    <w:name w:val="WW8Num3z2"/>
    <w:qFormat/>
    <w:rPr>
      <w:rFonts w:ascii="Wingdings" w:hAnsi="Wingdings" w:cs="Wingdings"/>
    </w:rPr>
  </w:style>
  <w:style w:type="character" w:styleId="WW8Num4z0">
    <w:name w:val="WW8Num4z0"/>
    <w:qFormat/>
    <w:rPr>
      <w:rFonts w:ascii="Symbol" w:hAnsi="Symbol" w:cs="Symbol"/>
      <w:sz w:val="20"/>
    </w:rPr>
  </w:style>
  <w:style w:type="character" w:styleId="WW8Num4z1">
    <w:name w:val="WW8Num4z1"/>
    <w:qFormat/>
    <w:rPr>
      <w:rFonts w:ascii="Courier New" w:hAnsi="Courier New" w:cs="Courier New"/>
      <w:sz w:val="20"/>
    </w:rPr>
  </w:style>
  <w:style w:type="character" w:styleId="WW8Num4z2">
    <w:name w:val="WW8Num4z2"/>
    <w:qFormat/>
    <w:rPr>
      <w:rFonts w:ascii="Wingdings" w:hAnsi="Wingdings" w:cs="Wingdings"/>
      <w:sz w:val="20"/>
    </w:rPr>
  </w:style>
  <w:style w:type="character" w:styleId="WW8Num5z0">
    <w:name w:val="WW8Num5z0"/>
    <w:qFormat/>
    <w:rPr>
      <w:rFonts w:ascii="Arial" w:hAnsi="Arial" w:eastAsia="Times New Roman" w:cs="Arial"/>
      <w:i w:val="false"/>
    </w:rPr>
  </w:style>
  <w:style w:type="character" w:styleId="WW8Num5z1">
    <w:name w:val="WW8Num5z1"/>
    <w:qFormat/>
    <w:rPr>
      <w:rFonts w:ascii="Courier New" w:hAnsi="Courier New" w:cs="Courier New"/>
    </w:rPr>
  </w:style>
  <w:style w:type="character" w:styleId="WW8Num5z2">
    <w:name w:val="WW8Num5z2"/>
    <w:qFormat/>
    <w:rPr>
      <w:rFonts w:ascii="Wingdings" w:hAnsi="Wingdings" w:cs="Wingdings"/>
    </w:rPr>
  </w:style>
  <w:style w:type="character" w:styleId="WW8Num5z3">
    <w:name w:val="WW8Num5z3"/>
    <w:qFormat/>
    <w:rPr>
      <w:rFonts w:ascii="Symbol" w:hAnsi="Symbol" w:cs="Symbol"/>
    </w:rPr>
  </w:style>
  <w:style w:type="character" w:styleId="WW8Num6z0">
    <w:name w:val="WW8Num6z0"/>
    <w:qFormat/>
    <w:rPr>
      <w:rFonts w:ascii="Wingdings" w:hAnsi="Wingdings" w:cs="Wingdings"/>
      <w:sz w:val="24"/>
    </w:rPr>
  </w:style>
  <w:style w:type="character" w:styleId="WW8Num6z1">
    <w:name w:val="WW8Num6z1"/>
    <w:qFormat/>
    <w:rPr>
      <w:rFonts w:ascii="Courier New" w:hAnsi="Courier New" w:cs="Courier New"/>
    </w:rPr>
  </w:style>
  <w:style w:type="character" w:styleId="WW8Num6z2">
    <w:name w:val="WW8Num6z2"/>
    <w:qFormat/>
    <w:rPr>
      <w:rFonts w:ascii="Wingdings" w:hAnsi="Wingdings" w:cs="Wingdings"/>
    </w:rPr>
  </w:style>
  <w:style w:type="character" w:styleId="WW8Num6z3">
    <w:name w:val="WW8Num6z3"/>
    <w:qFormat/>
    <w:rPr>
      <w:rFonts w:ascii="Symbol" w:hAnsi="Symbol" w:cs="Symbol"/>
    </w:rPr>
  </w:style>
  <w:style w:type="character" w:styleId="WW8Num7z0">
    <w:name w:val="WW8Num7z0"/>
    <w:qFormat/>
    <w:rPr>
      <w:rFonts w:ascii="Symbol" w:hAnsi="Symbol" w:eastAsia="Times New Roman" w:cs="Symbol"/>
      <w:sz w:val="20"/>
      <w:szCs w:val="20"/>
      <w:lang w:eastAsia="it-IT"/>
    </w:rPr>
  </w:style>
  <w:style w:type="character" w:styleId="WW8Num7z1">
    <w:name w:val="WW8Num7z1"/>
    <w:qFormat/>
    <w:rPr>
      <w:rFonts w:ascii="Courier New" w:hAnsi="Courier New" w:cs="Courier New"/>
    </w:rPr>
  </w:style>
  <w:style w:type="character" w:styleId="WW8Num7z2">
    <w:name w:val="WW8Num7z2"/>
    <w:qFormat/>
    <w:rPr>
      <w:rFonts w:ascii="Wingdings" w:hAnsi="Wingdings" w:cs="Wingdings"/>
    </w:rPr>
  </w:style>
  <w:style w:type="character" w:styleId="WW8Num8z0">
    <w:name w:val="WW8Num8z0"/>
    <w:qFormat/>
    <w:rPr/>
  </w:style>
  <w:style w:type="character" w:styleId="WW8Num8z1">
    <w:name w:val="WW8Num8z1"/>
    <w:qFormat/>
    <w:rPr/>
  </w:style>
  <w:style w:type="character" w:styleId="WW8Num8z2">
    <w:name w:val="WW8Num8z2"/>
    <w:qFormat/>
    <w:rPr/>
  </w:style>
  <w:style w:type="character" w:styleId="WW8Num8z3">
    <w:name w:val="WW8Num8z3"/>
    <w:qFormat/>
    <w:rPr/>
  </w:style>
  <w:style w:type="character" w:styleId="WW8Num8z4">
    <w:name w:val="WW8Num8z4"/>
    <w:qFormat/>
    <w:rPr/>
  </w:style>
  <w:style w:type="character" w:styleId="WW8Num8z5">
    <w:name w:val="WW8Num8z5"/>
    <w:qFormat/>
    <w:rPr/>
  </w:style>
  <w:style w:type="character" w:styleId="WW8Num8z6">
    <w:name w:val="WW8Num8z6"/>
    <w:qFormat/>
    <w:rPr/>
  </w:style>
  <w:style w:type="character" w:styleId="WW8Num8z7">
    <w:name w:val="WW8Num8z7"/>
    <w:qFormat/>
    <w:rPr/>
  </w:style>
  <w:style w:type="character" w:styleId="WW8Num8z8">
    <w:name w:val="WW8Num8z8"/>
    <w:qFormat/>
    <w:rPr/>
  </w:style>
  <w:style w:type="character" w:styleId="WW8Num9z0">
    <w:name w:val="WW8Num9z0"/>
    <w:qFormat/>
    <w:rPr>
      <w:rFonts w:ascii="Symbol" w:hAnsi="Symbol" w:cs="Symbol"/>
    </w:rPr>
  </w:style>
  <w:style w:type="character" w:styleId="WW8Num9z1">
    <w:name w:val="WW8Num9z1"/>
    <w:qFormat/>
    <w:rPr>
      <w:rFonts w:ascii="Courier New" w:hAnsi="Courier New" w:cs="Courier New"/>
    </w:rPr>
  </w:style>
  <w:style w:type="character" w:styleId="WW8Num9z2">
    <w:name w:val="WW8Num9z2"/>
    <w:qFormat/>
    <w:rPr>
      <w:rFonts w:ascii="Wingdings" w:hAnsi="Wingdings" w:cs="Wingdings"/>
    </w:rPr>
  </w:style>
  <w:style w:type="character" w:styleId="WW8Num10z0">
    <w:name w:val="WW8Num10z0"/>
    <w:qFormat/>
    <w:rPr>
      <w:rFonts w:ascii="Symbol" w:hAnsi="Symbol" w:eastAsia="Times New Roman" w:cs="Symbol"/>
      <w:sz w:val="20"/>
      <w:szCs w:val="20"/>
      <w:lang w:eastAsia="it-IT"/>
    </w:rPr>
  </w:style>
  <w:style w:type="character" w:styleId="WW8Num10z1">
    <w:name w:val="WW8Num10z1"/>
    <w:qFormat/>
    <w:rPr>
      <w:rFonts w:ascii="Courier New" w:hAnsi="Courier New" w:cs="Courier New"/>
    </w:rPr>
  </w:style>
  <w:style w:type="character" w:styleId="WW8Num10z2">
    <w:name w:val="WW8Num10z2"/>
    <w:qFormat/>
    <w:rPr>
      <w:rFonts w:ascii="Wingdings" w:hAnsi="Wingdings" w:cs="Wingdings"/>
    </w:rPr>
  </w:style>
  <w:style w:type="character" w:styleId="WW8Num11z0">
    <w:name w:val="WW8Num11z0"/>
    <w:qFormat/>
    <w:rPr>
      <w:rFonts w:ascii="Symbol" w:hAnsi="Symbol" w:cs="Symbol"/>
    </w:rPr>
  </w:style>
  <w:style w:type="character" w:styleId="WW8Num11z1">
    <w:name w:val="WW8Num11z1"/>
    <w:qFormat/>
    <w:rPr>
      <w:rFonts w:ascii="Courier New" w:hAnsi="Courier New" w:cs="Courier New"/>
    </w:rPr>
  </w:style>
  <w:style w:type="character" w:styleId="WW8Num11z2">
    <w:name w:val="WW8Num11z2"/>
    <w:qFormat/>
    <w:rPr>
      <w:rFonts w:ascii="Wingdings" w:hAnsi="Wingdings" w:cs="Wingdings"/>
    </w:rPr>
  </w:style>
  <w:style w:type="character" w:styleId="WW8Num12z0">
    <w:name w:val="WW8Num12z0"/>
    <w:qFormat/>
    <w:rPr>
      <w:rFonts w:ascii="Symbol" w:hAnsi="Symbol" w:cs="Symbol"/>
    </w:rPr>
  </w:style>
  <w:style w:type="character" w:styleId="WW8Num12z1">
    <w:name w:val="WW8Num12z1"/>
    <w:qFormat/>
    <w:rPr>
      <w:rFonts w:ascii="Courier New" w:hAnsi="Courier New" w:cs="Courier New"/>
    </w:rPr>
  </w:style>
  <w:style w:type="character" w:styleId="WW8Num12z2">
    <w:name w:val="WW8Num12z2"/>
    <w:qFormat/>
    <w:rPr>
      <w:rFonts w:ascii="Wingdings" w:hAnsi="Wingdings" w:cs="Wingdings"/>
    </w:rPr>
  </w:style>
  <w:style w:type="character" w:styleId="WW8Num13z0">
    <w:name w:val="WW8Num13z0"/>
    <w:qFormat/>
    <w:rPr>
      <w:rFonts w:ascii="Symbol" w:hAnsi="Symbol" w:eastAsia="Times New Roman" w:cs="Symbol"/>
      <w:sz w:val="20"/>
      <w:szCs w:val="20"/>
      <w:lang w:eastAsia="it-IT"/>
    </w:rPr>
  </w:style>
  <w:style w:type="character" w:styleId="WW8Num13z1">
    <w:name w:val="WW8Num13z1"/>
    <w:qFormat/>
    <w:rPr>
      <w:rFonts w:ascii="Courier New" w:hAnsi="Courier New" w:cs="Courier New"/>
    </w:rPr>
  </w:style>
  <w:style w:type="character" w:styleId="WW8Num13z2">
    <w:name w:val="WW8Num13z2"/>
    <w:qFormat/>
    <w:rPr>
      <w:rFonts w:ascii="Wingdings" w:hAnsi="Wingdings" w:cs="Wingdings"/>
    </w:rPr>
  </w:style>
  <w:style w:type="character" w:styleId="WW8Num14z0">
    <w:name w:val="WW8Num14z0"/>
    <w:qFormat/>
    <w:rPr>
      <w:rFonts w:ascii="Symbol" w:hAnsi="Symbol" w:cs="Symbol"/>
      <w:sz w:val="20"/>
    </w:rPr>
  </w:style>
  <w:style w:type="character" w:styleId="WW8Num14z1">
    <w:name w:val="WW8Num14z1"/>
    <w:qFormat/>
    <w:rPr>
      <w:rFonts w:ascii="Courier New" w:hAnsi="Courier New" w:cs="Courier New"/>
      <w:sz w:val="20"/>
    </w:rPr>
  </w:style>
  <w:style w:type="character" w:styleId="WW8Num14z2">
    <w:name w:val="WW8Num14z2"/>
    <w:qFormat/>
    <w:rPr>
      <w:rFonts w:ascii="Wingdings" w:hAnsi="Wingdings" w:cs="Wingdings"/>
      <w:sz w:val="20"/>
    </w:rPr>
  </w:style>
  <w:style w:type="character" w:styleId="WW8Num15z0">
    <w:name w:val="WW8Num15z0"/>
    <w:qFormat/>
    <w:rPr>
      <w:rFonts w:ascii="Symbol" w:hAnsi="Symbol" w:cs="Symbol"/>
    </w:rPr>
  </w:style>
  <w:style w:type="character" w:styleId="WW8Num15z1">
    <w:name w:val="WW8Num15z1"/>
    <w:qFormat/>
    <w:rPr>
      <w:rFonts w:ascii="Courier New" w:hAnsi="Courier New" w:cs="Courier New"/>
    </w:rPr>
  </w:style>
  <w:style w:type="character" w:styleId="WW8Num15z2">
    <w:name w:val="WW8Num15z2"/>
    <w:qFormat/>
    <w:rPr>
      <w:rFonts w:ascii="Wingdings" w:hAnsi="Wingdings" w:cs="Wingdings"/>
    </w:rPr>
  </w:style>
  <w:style w:type="character" w:styleId="WW8Num16z0">
    <w:name w:val="WW8Num16z0"/>
    <w:qFormat/>
    <w:rPr>
      <w:rFonts w:ascii="Symbol" w:hAnsi="Symbol" w:cs="Symbol"/>
      <w:color w:val="000000"/>
    </w:rPr>
  </w:style>
  <w:style w:type="character" w:styleId="WW8Num16z1">
    <w:name w:val="WW8Num16z1"/>
    <w:qFormat/>
    <w:rPr>
      <w:rFonts w:ascii="Courier New" w:hAnsi="Courier New" w:cs="Courier New"/>
    </w:rPr>
  </w:style>
  <w:style w:type="character" w:styleId="WW8Num16z2">
    <w:name w:val="WW8Num16z2"/>
    <w:qFormat/>
    <w:rPr>
      <w:rFonts w:ascii="Wingdings" w:hAnsi="Wingdings" w:cs="Wingdings"/>
    </w:rPr>
  </w:style>
  <w:style w:type="character" w:styleId="WW8Num16z3">
    <w:name w:val="WW8Num16z3"/>
    <w:qFormat/>
    <w:rPr>
      <w:rFonts w:ascii="Symbol" w:hAnsi="Symbol" w:cs="Symbol"/>
    </w:rPr>
  </w:style>
  <w:style w:type="character" w:styleId="WW8Num17z0">
    <w:name w:val="WW8Num17z0"/>
    <w:qFormat/>
    <w:rPr>
      <w:rFonts w:ascii="Symbol" w:hAnsi="Symbol" w:cs="Symbol"/>
    </w:rPr>
  </w:style>
  <w:style w:type="character" w:styleId="WW8Num17z1">
    <w:name w:val="WW8Num17z1"/>
    <w:qFormat/>
    <w:rPr>
      <w:rFonts w:ascii="Courier New" w:hAnsi="Courier New" w:cs="Courier New"/>
    </w:rPr>
  </w:style>
  <w:style w:type="character" w:styleId="WW8Num17z2">
    <w:name w:val="WW8Num17z2"/>
    <w:qFormat/>
    <w:rPr>
      <w:rFonts w:ascii="Wingdings" w:hAnsi="Wingdings" w:cs="Wingdings"/>
    </w:rPr>
  </w:style>
  <w:style w:type="character" w:styleId="WW8Num18z0">
    <w:name w:val="WW8Num18z0"/>
    <w:qFormat/>
    <w:rPr>
      <w:rFonts w:ascii="Arial" w:hAnsi="Arial" w:eastAsia="Times New Roman" w:cs="Arial"/>
    </w:rPr>
  </w:style>
  <w:style w:type="character" w:styleId="WW8Num18z1">
    <w:name w:val="WW8Num18z1"/>
    <w:qFormat/>
    <w:rPr>
      <w:rFonts w:ascii="Courier New" w:hAnsi="Courier New" w:cs="Courier New"/>
    </w:rPr>
  </w:style>
  <w:style w:type="character" w:styleId="WW8Num18z2">
    <w:name w:val="WW8Num18z2"/>
    <w:qFormat/>
    <w:rPr>
      <w:rFonts w:ascii="Wingdings" w:hAnsi="Wingdings" w:cs="Wingdings"/>
    </w:rPr>
  </w:style>
  <w:style w:type="character" w:styleId="WW8Num18z3">
    <w:name w:val="WW8Num18z3"/>
    <w:qFormat/>
    <w:rPr>
      <w:rFonts w:ascii="Symbol" w:hAnsi="Symbol" w:cs="Symbol"/>
    </w:rPr>
  </w:style>
  <w:style w:type="character" w:styleId="WW8Num19z0">
    <w:name w:val="WW8Num19z0"/>
    <w:qFormat/>
    <w:rPr>
      <w:rFonts w:ascii="Symbol" w:hAnsi="Symbol" w:cs="Symbol"/>
    </w:rPr>
  </w:style>
  <w:style w:type="character" w:styleId="WW8Num19z1">
    <w:name w:val="WW8Num19z1"/>
    <w:qFormat/>
    <w:rPr>
      <w:rFonts w:ascii="Courier New" w:hAnsi="Courier New" w:cs="Courier New"/>
    </w:rPr>
  </w:style>
  <w:style w:type="character" w:styleId="WW8Num19z2">
    <w:name w:val="WW8Num19z2"/>
    <w:qFormat/>
    <w:rPr>
      <w:rFonts w:ascii="Wingdings" w:hAnsi="Wingdings" w:cs="Wingdings"/>
    </w:rPr>
  </w:style>
  <w:style w:type="character" w:styleId="WW8Num20z0">
    <w:name w:val="WW8Num20z0"/>
    <w:qFormat/>
    <w:rPr>
      <w:rFonts w:ascii="Symbol" w:hAnsi="Symbol" w:cs="Symbol"/>
      <w:sz w:val="20"/>
    </w:rPr>
  </w:style>
  <w:style w:type="character" w:styleId="WW8Num20z1">
    <w:name w:val="WW8Num20z1"/>
    <w:qFormat/>
    <w:rPr>
      <w:rFonts w:ascii="Courier New" w:hAnsi="Courier New" w:cs="Courier New"/>
      <w:sz w:val="20"/>
    </w:rPr>
  </w:style>
  <w:style w:type="character" w:styleId="WW8Num20z2">
    <w:name w:val="WW8Num20z2"/>
    <w:qFormat/>
    <w:rPr>
      <w:rFonts w:ascii="Wingdings" w:hAnsi="Wingdings" w:cs="Wingdings"/>
      <w:sz w:val="20"/>
    </w:rPr>
  </w:style>
  <w:style w:type="character" w:styleId="WW8Num21z0">
    <w:name w:val="WW8Num21z0"/>
    <w:qFormat/>
    <w:rPr>
      <w:rFonts w:ascii="Symbol" w:hAnsi="Symbol" w:cs="Symbol"/>
    </w:rPr>
  </w:style>
  <w:style w:type="character" w:styleId="WW8Num21z1">
    <w:name w:val="WW8Num21z1"/>
    <w:qFormat/>
    <w:rPr>
      <w:rFonts w:ascii="Courier New" w:hAnsi="Courier New" w:cs="Courier New"/>
    </w:rPr>
  </w:style>
  <w:style w:type="character" w:styleId="WW8Num21z2">
    <w:name w:val="WW8Num21z2"/>
    <w:qFormat/>
    <w:rPr>
      <w:rFonts w:ascii="Wingdings" w:hAnsi="Wingdings" w:cs="Wingdings"/>
    </w:rPr>
  </w:style>
  <w:style w:type="character" w:styleId="WW8Num22z0">
    <w:name w:val="WW8Num22z0"/>
    <w:qFormat/>
    <w:rPr>
      <w:rFonts w:ascii="Wingdings" w:hAnsi="Wingdings" w:cs="Wingdings"/>
      <w:b w:val="false"/>
      <w:i w:val="false"/>
      <w:color w:val="000000"/>
      <w:sz w:val="24"/>
      <w:szCs w:val="24"/>
    </w:rPr>
  </w:style>
  <w:style w:type="character" w:styleId="WW8Num22z2">
    <w:name w:val="WW8Num22z2"/>
    <w:qFormat/>
    <w:rPr>
      <w:rFonts w:ascii="Wingdings" w:hAnsi="Wingdings" w:cs="Wingdings"/>
    </w:rPr>
  </w:style>
  <w:style w:type="character" w:styleId="WW8Num22z3">
    <w:name w:val="WW8Num22z3"/>
    <w:qFormat/>
    <w:rPr>
      <w:rFonts w:ascii="Symbol" w:hAnsi="Symbol" w:cs="Symbol"/>
    </w:rPr>
  </w:style>
  <w:style w:type="character" w:styleId="WW8Num22z4">
    <w:name w:val="WW8Num22z4"/>
    <w:qFormat/>
    <w:rPr>
      <w:rFonts w:ascii="Courier New" w:hAnsi="Courier New" w:cs="Courier New"/>
    </w:rPr>
  </w:style>
  <w:style w:type="character" w:styleId="WW8Num23z0">
    <w:name w:val="WW8Num23z0"/>
    <w:qFormat/>
    <w:rPr>
      <w:rFonts w:ascii="Symbol" w:hAnsi="Symbol" w:eastAsia="Times New Roman" w:cs="Symbol"/>
      <w:sz w:val="20"/>
      <w:szCs w:val="20"/>
      <w:lang w:eastAsia="it-IT"/>
    </w:rPr>
  </w:style>
  <w:style w:type="character" w:styleId="WW8Num23z1">
    <w:name w:val="WW8Num23z1"/>
    <w:qFormat/>
    <w:rPr>
      <w:rFonts w:ascii="Courier New" w:hAnsi="Courier New" w:cs="Courier New"/>
    </w:rPr>
  </w:style>
  <w:style w:type="character" w:styleId="WW8Num23z2">
    <w:name w:val="WW8Num23z2"/>
    <w:qFormat/>
    <w:rPr>
      <w:rFonts w:ascii="Wingdings" w:hAnsi="Wingdings" w:cs="Wingdings"/>
    </w:rPr>
  </w:style>
  <w:style w:type="character" w:styleId="WW8Num24z0">
    <w:name w:val="WW8Num24z0"/>
    <w:qFormat/>
    <w:rPr>
      <w:b/>
      <w:sz w:val="18"/>
      <w:szCs w:val="18"/>
    </w:rPr>
  </w:style>
  <w:style w:type="character" w:styleId="WW8Num24z1">
    <w:name w:val="WW8Num24z1"/>
    <w:qFormat/>
    <w:rPr/>
  </w:style>
  <w:style w:type="character" w:styleId="WW8Num24z2">
    <w:name w:val="WW8Num24z2"/>
    <w:qFormat/>
    <w:rPr/>
  </w:style>
  <w:style w:type="character" w:styleId="WW8Num24z3">
    <w:name w:val="WW8Num24z3"/>
    <w:qFormat/>
    <w:rPr/>
  </w:style>
  <w:style w:type="character" w:styleId="WW8Num24z4">
    <w:name w:val="WW8Num24z4"/>
    <w:qFormat/>
    <w:rPr/>
  </w:style>
  <w:style w:type="character" w:styleId="WW8Num24z5">
    <w:name w:val="WW8Num24z5"/>
    <w:qFormat/>
    <w:rPr/>
  </w:style>
  <w:style w:type="character" w:styleId="WW8Num24z6">
    <w:name w:val="WW8Num24z6"/>
    <w:qFormat/>
    <w:rPr/>
  </w:style>
  <w:style w:type="character" w:styleId="WW8Num24z7">
    <w:name w:val="WW8Num24z7"/>
    <w:qFormat/>
    <w:rPr/>
  </w:style>
  <w:style w:type="character" w:styleId="WW8Num24z8">
    <w:name w:val="WW8Num24z8"/>
    <w:qFormat/>
    <w:rPr/>
  </w:style>
  <w:style w:type="character" w:styleId="Carpredefinitoparagrafo">
    <w:name w:val="Car. predefinito paragrafo"/>
    <w:qFormat/>
    <w:rPr/>
  </w:style>
  <w:style w:type="character" w:styleId="AbsatzStandardschriftart">
    <w:name w:val="Absatz-Standardschriftart"/>
    <w:qFormat/>
    <w:rPr/>
  </w:style>
  <w:style w:type="character" w:styleId="WWAbsatzStandardschriftart">
    <w:name w:val="WW-Absatz-Standardschriftart"/>
    <w:qFormat/>
    <w:rPr/>
  </w:style>
  <w:style w:type="character" w:styleId="Caratterepredefinitoparagrafo">
    <w:name w:val="Carattere predefinito paragrafo"/>
    <w:qFormat/>
    <w:rPr/>
  </w:style>
  <w:style w:type="character" w:styleId="WWAbsatzStandardschriftart1">
    <w:name w:val="WW-Absatz-Standardschriftart1"/>
    <w:qFormat/>
    <w:rPr/>
  </w:style>
  <w:style w:type="character" w:styleId="WWAbsatzStandardschriftart11">
    <w:name w:val="WW-Absatz-Standardschriftart11"/>
    <w:qFormat/>
    <w:rPr/>
  </w:style>
  <w:style w:type="character" w:styleId="WWAbsatzStandardschriftart111">
    <w:name w:val="WW-Absatz-Standardschriftart111"/>
    <w:qFormat/>
    <w:rPr/>
  </w:style>
  <w:style w:type="character" w:styleId="Carpredefinitoparagrafo1">
    <w:name w:val="Car. predefinito paragrafo1"/>
    <w:qFormat/>
    <w:rPr/>
  </w:style>
  <w:style w:type="character" w:styleId="TestonotaapidipaginaCarattere">
    <w:name w:val="Testo nota a piè di pagina Carattere"/>
    <w:basedOn w:val="Carpredefinitoparagrafo"/>
    <w:qFormat/>
    <w:rPr/>
  </w:style>
  <w:style w:type="character" w:styleId="FootnoteCharacters">
    <w:name w:val="Footnote Characters"/>
    <w:qFormat/>
    <w:rPr>
      <w:vertAlign w:val="superscript"/>
    </w:rPr>
  </w:style>
  <w:style w:type="character" w:styleId="PidipaginaCarattere">
    <w:name w:val="Piè di pagina Carattere"/>
    <w:qFormat/>
    <w:rPr>
      <w:rFonts w:ascii="Calibri" w:hAnsi="Calibri" w:eastAsia="Calibri" w:cs="Calibri"/>
      <w:sz w:val="22"/>
      <w:szCs w:val="22"/>
    </w:rPr>
  </w:style>
  <w:style w:type="character" w:styleId="InternetLink">
    <w:name w:val="Internet Link"/>
    <w:rPr>
      <w:strike w:val="false"/>
      <w:dstrike w:val="false"/>
      <w:color w:val="0000FF"/>
      <w:u w:val="none"/>
    </w:rPr>
  </w:style>
  <w:style w:type="character" w:styleId="TestonotadichiusuraCarattere">
    <w:name w:val="Testo nota di chiusura Carattere"/>
    <w:qFormat/>
    <w:rPr>
      <w:rFonts w:ascii="Calibri" w:hAnsi="Calibri" w:eastAsia="Calibri" w:cs="Calibri"/>
    </w:rPr>
  </w:style>
  <w:style w:type="character" w:styleId="EndnoteCharacters">
    <w:name w:val="Endnote Characters"/>
    <w:qFormat/>
    <w:rPr>
      <w:vertAlign w:val="superscript"/>
    </w:rPr>
  </w:style>
  <w:style w:type="character" w:styleId="FootnoteAnchor">
    <w:name w:val="Footnote Anchor"/>
    <w:rPr>
      <w:vertAlign w:val="superscript"/>
    </w:rPr>
  </w:style>
  <w:style w:type="character" w:styleId="EndnoteAnchor">
    <w:name w:val="Endnote Anchor"/>
    <w:rPr>
      <w:vertAlign w:val="superscript"/>
    </w:rPr>
  </w:style>
  <w:style w:type="paragraph" w:styleId="Heading">
    <w:name w:val="Heading"/>
    <w:basedOn w:val="Normal"/>
    <w:next w:val="TextBody"/>
    <w:qFormat/>
    <w:pPr>
      <w:keepNext w:val="true"/>
      <w:spacing w:before="240" w:after="120"/>
    </w:pPr>
    <w:rPr>
      <w:rFonts w:ascii="Liberation Sans" w:hAnsi="Liberation Sans" w:eastAsia="DejaVu Sans" w:cs="DejaVu Sans"/>
      <w:sz w:val="28"/>
      <w:szCs w:val="28"/>
    </w:rPr>
  </w:style>
  <w:style w:type="paragraph" w:styleId="TextBody">
    <w:name w:val="Body Text"/>
    <w:basedOn w:val="Normal"/>
    <w:pPr>
      <w:spacing w:before="0" w:after="120"/>
    </w:pPr>
    <w:rPr/>
  </w:style>
  <w:style w:type="paragraph" w:styleId="List">
    <w:name w:val="List"/>
    <w:basedOn w:val="TextBody"/>
    <w:pPr/>
    <w:rPr>
      <w:rFonts w:cs="Tahoma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/>
  </w:style>
  <w:style w:type="paragraph" w:styleId="Intestazione1">
    <w:name w:val="Intestazione1"/>
    <w:basedOn w:val="Normal"/>
    <w:next w:val="TextBody"/>
    <w:qFormat/>
    <w:pPr>
      <w:keepNext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Didascalia1">
    <w:name w:val="Didascalia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Tahoma"/>
    </w:rPr>
  </w:style>
  <w:style w:type="paragraph" w:styleId="Header">
    <w:name w:val="Header"/>
    <w:basedOn w:val="Normal"/>
    <w:next w:val="TextBody"/>
    <w:pPr>
      <w:keepNext w:val="true"/>
      <w:spacing w:before="240" w:after="120"/>
    </w:pPr>
    <w:rPr>
      <w:rFonts w:ascii="Arial" w:hAnsi="Arial" w:eastAsia="Lucida Sans Unicode" w:cs="Tahoma"/>
      <w:sz w:val="28"/>
      <w:szCs w:val="28"/>
    </w:rPr>
  </w:style>
  <w:style w:type="paragraph" w:styleId="Contenutotabella">
    <w:name w:val="Contenuto tabella"/>
    <w:basedOn w:val="Normal"/>
    <w:qFormat/>
    <w:pPr>
      <w:suppressLineNumbers/>
    </w:pPr>
    <w:rPr/>
  </w:style>
  <w:style w:type="paragraph" w:styleId="Footnote">
    <w:name w:val="Footnote Text"/>
    <w:basedOn w:val="Normal"/>
    <w:pPr>
      <w:suppressAutoHyphens w:val="false"/>
      <w:spacing w:lineRule="auto" w:line="240" w:before="0" w:after="0"/>
    </w:pPr>
    <w:rPr>
      <w:rFonts w:ascii="Times New Roman" w:hAnsi="Times New Roman" w:eastAsia="Times New Roman" w:cs="Times New Roman"/>
      <w:sz w:val="20"/>
      <w:szCs w:val="20"/>
    </w:rPr>
  </w:style>
  <w:style w:type="paragraph" w:styleId="NormaleWeb">
    <w:name w:val="Normale (Web)"/>
    <w:basedOn w:val="Normal"/>
    <w:qFormat/>
    <w:pPr>
      <w:suppressAutoHyphens w:val="false"/>
      <w:spacing w:lineRule="auto" w:line="240" w:before="280" w:after="280"/>
    </w:pPr>
    <w:rPr>
      <w:rFonts w:ascii="Times New Roman" w:hAnsi="Times New Roman" w:eastAsia="Times New Roman" w:cs="Times New Roman"/>
      <w:sz w:val="24"/>
      <w:szCs w:val="24"/>
    </w:rPr>
  </w:style>
  <w:style w:type="paragraph" w:styleId="Footer">
    <w:name w:val="Footer"/>
    <w:basedOn w:val="Normal"/>
    <w:pPr/>
    <w:rPr/>
  </w:style>
  <w:style w:type="paragraph" w:styleId="Paragrafoelenco">
    <w:name w:val="Paragrafo elenco"/>
    <w:basedOn w:val="Normal"/>
    <w:qFormat/>
    <w:pPr>
      <w:suppressAutoHyphens w:val="false"/>
      <w:spacing w:before="0" w:after="200"/>
      <w:ind w:left="720" w:hanging="0"/>
      <w:contextualSpacing/>
    </w:pPr>
    <w:rPr>
      <w:rFonts w:cs="Times New Roman"/>
    </w:rPr>
  </w:style>
  <w:style w:type="paragraph" w:styleId="Endnote">
    <w:name w:val="Endnote Text"/>
    <w:basedOn w:val="Normal"/>
    <w:pPr/>
    <w:rPr>
      <w:sz w:val="20"/>
      <w:szCs w:val="20"/>
    </w:rPr>
  </w:style>
  <w:style w:type="paragraph" w:styleId="TableContents">
    <w:name w:val="Table Contents"/>
    <w:basedOn w:val="Normal"/>
    <w:qFormat/>
    <w:pPr>
      <w:suppressLineNumbers/>
    </w:pPr>
    <w:rPr/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  <w:style w:type="numbering" w:styleId="WW8Num1">
    <w:name w:val="WW8Num1"/>
    <w:qFormat/>
  </w:style>
  <w:style w:type="numbering" w:styleId="WW8Num2">
    <w:name w:val="WW8Num2"/>
    <w:qFormat/>
  </w:style>
  <w:style w:type="numbering" w:styleId="WW8Num3">
    <w:name w:val="WW8Num3"/>
    <w:qFormat/>
  </w:style>
  <w:style w:type="numbering" w:styleId="WW8Num4">
    <w:name w:val="WW8Num4"/>
    <w:qFormat/>
  </w:style>
  <w:style w:type="numbering" w:styleId="WW8Num5">
    <w:name w:val="WW8Num5"/>
    <w:qFormat/>
  </w:style>
  <w:style w:type="numbering" w:styleId="WW8Num6">
    <w:name w:val="WW8Num6"/>
    <w:qFormat/>
  </w:style>
  <w:style w:type="numbering" w:styleId="WW8Num7">
    <w:name w:val="WW8Num7"/>
    <w:qFormat/>
  </w:style>
  <w:style w:type="numbering" w:styleId="WW8Num8">
    <w:name w:val="WW8Num8"/>
    <w:qFormat/>
  </w:style>
  <w:style w:type="numbering" w:styleId="WW8Num9">
    <w:name w:val="WW8Num9"/>
    <w:qFormat/>
  </w:style>
  <w:style w:type="numbering" w:styleId="WW8Num10">
    <w:name w:val="WW8Num10"/>
    <w:qFormat/>
  </w:style>
  <w:style w:type="numbering" w:styleId="WW8Num11">
    <w:name w:val="WW8Num11"/>
    <w:qFormat/>
  </w:style>
  <w:style w:type="numbering" w:styleId="WW8Num12">
    <w:name w:val="WW8Num12"/>
    <w:qFormat/>
  </w:style>
  <w:style w:type="numbering" w:styleId="WW8Num13">
    <w:name w:val="WW8Num13"/>
    <w:qFormat/>
  </w:style>
  <w:style w:type="numbering" w:styleId="WW8Num14">
    <w:name w:val="WW8Num14"/>
    <w:qFormat/>
  </w:style>
  <w:style w:type="numbering" w:styleId="WW8Num15">
    <w:name w:val="WW8Num15"/>
    <w:qFormat/>
  </w:style>
  <w:style w:type="numbering" w:styleId="WW8Num16">
    <w:name w:val="WW8Num16"/>
    <w:qFormat/>
  </w:style>
  <w:style w:type="numbering" w:styleId="WW8Num17">
    <w:name w:val="WW8Num17"/>
    <w:qFormat/>
  </w:style>
  <w:style w:type="numbering" w:styleId="WW8Num18">
    <w:name w:val="WW8Num18"/>
    <w:qFormat/>
  </w:style>
  <w:style w:type="numbering" w:styleId="WW8Num19">
    <w:name w:val="WW8Num19"/>
    <w:qFormat/>
  </w:style>
  <w:style w:type="numbering" w:styleId="WW8Num20">
    <w:name w:val="WW8Num20"/>
    <w:qFormat/>
  </w:style>
  <w:style w:type="numbering" w:styleId="WW8Num21">
    <w:name w:val="WW8Num21"/>
    <w:qFormat/>
  </w:style>
  <w:style w:type="numbering" w:styleId="WW8Num22">
    <w:name w:val="WW8Num22"/>
    <w:qFormat/>
  </w:style>
  <w:style w:type="numbering" w:styleId="WW8Num23">
    <w:name w:val="WW8Num23"/>
    <w:qFormat/>
  </w:style>
  <w:style w:type="numbering" w:styleId="WW8Num24">
    <w:name w:val="WW8Num24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footer" Target="footer2.xml"/><Relationship Id="rId4" Type="http://schemas.openxmlformats.org/officeDocument/2006/relationships/footnotes" Target="footnotes.xml"/><Relationship Id="rId5" Type="http://schemas.openxmlformats.org/officeDocument/2006/relationships/numbering" Target="numbering.xml"/><Relationship Id="rId6" Type="http://schemas.openxmlformats.org/officeDocument/2006/relationships/fontTable" Target="fontTable.xml"/><Relationship Id="rId7" Type="http://schemas.openxmlformats.org/officeDocument/2006/relationships/settings" Target="settings.xml"/>
</Relationships>
</file>

<file path=word/_rels/foot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LibreOffice/5.3.6.1$Linux_X86_64 LibreOffice_project/30$Build-1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2017-10-05T10:19:00Z</dcterms:created>
  <dc:creator>Grafiche E.Gaspari S.r.l.</dc:creator>
  <dc:description/>
  <dc:language>en-US</dc:language>
  <cp:lastModifiedBy>Andrea Piredda</cp:lastModifiedBy>
  <cp:lastPrinted>2112-12-31T23:00:00Z</cp:lastPrinted>
  <dcterms:modified xsi:type="dcterms:W3CDTF">2017-10-05T10:42:00Z</dcterms:modified>
  <cp:revision>3</cp:revision>
  <dc:subject/>
  <dc:title/>
</cp:coreProperties>
</file>